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EF9D" w14:textId="77777777" w:rsidR="004D691D" w:rsidRDefault="00DB4F09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22DEFBF" wp14:editId="222DEFC0">
            <wp:extent cx="6574772" cy="11058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772" cy="11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EF9E" w14:textId="77777777" w:rsidR="004D691D" w:rsidRDefault="004D691D">
      <w:pPr>
        <w:pStyle w:val="BodyText"/>
        <w:rPr>
          <w:rFonts w:ascii="Times New Roman"/>
          <w:sz w:val="20"/>
        </w:rPr>
      </w:pPr>
    </w:p>
    <w:p w14:paraId="222DEF9F" w14:textId="77777777" w:rsidR="004D691D" w:rsidRDefault="004D691D">
      <w:pPr>
        <w:pStyle w:val="BodyText"/>
        <w:spacing w:before="2"/>
        <w:rPr>
          <w:rFonts w:ascii="Times New Roman"/>
          <w:sz w:val="19"/>
        </w:rPr>
      </w:pPr>
    </w:p>
    <w:p w14:paraId="222DEFA0" w14:textId="31459006" w:rsidR="004D691D" w:rsidRDefault="00DB4F09">
      <w:pPr>
        <w:pStyle w:val="Heading1"/>
        <w:spacing w:before="92"/>
      </w:pPr>
      <w:r>
        <w:t>NEWS RELEASE</w:t>
      </w:r>
      <w:r>
        <w:tab/>
      </w:r>
      <w:r>
        <w:tab/>
      </w:r>
      <w:r>
        <w:tab/>
      </w:r>
    </w:p>
    <w:p w14:paraId="222DEFA1" w14:textId="77777777" w:rsidR="004D691D" w:rsidRDefault="00DB4F09">
      <w:pPr>
        <w:pStyle w:val="BodyText"/>
        <w:spacing w:before="253"/>
        <w:ind w:left="1000"/>
      </w:pPr>
      <w:r>
        <w:t>FOR IMMEDIATE RELEASE</w:t>
      </w:r>
    </w:p>
    <w:p w14:paraId="222DEFA2" w14:textId="67930AFB" w:rsidR="004D691D" w:rsidRDefault="00506D54">
      <w:pPr>
        <w:pStyle w:val="BodyText"/>
        <w:spacing w:before="1"/>
        <w:ind w:left="1000"/>
      </w:pPr>
      <w:r>
        <w:t xml:space="preserve">September </w:t>
      </w:r>
      <w:r w:rsidR="00D6023C">
        <w:t>19</w:t>
      </w:r>
      <w:bookmarkStart w:id="0" w:name="_GoBack"/>
      <w:bookmarkEnd w:id="0"/>
      <w:r>
        <w:t xml:space="preserve">, 2019 </w:t>
      </w:r>
    </w:p>
    <w:p w14:paraId="62CCF216" w14:textId="6B70300C" w:rsidR="00506D54" w:rsidRDefault="00506D54">
      <w:pPr>
        <w:pStyle w:val="BodyText"/>
        <w:spacing w:before="1"/>
        <w:ind w:left="1000"/>
      </w:pPr>
    </w:p>
    <w:p w14:paraId="49F03871" w14:textId="5C893970" w:rsidR="00506D54" w:rsidRDefault="00506D54">
      <w:pPr>
        <w:pStyle w:val="BodyText"/>
        <w:spacing w:before="1"/>
        <w:ind w:left="1000"/>
      </w:pPr>
      <w:r>
        <w:t xml:space="preserve">Contact:  John </w:t>
      </w:r>
      <w:r w:rsidR="004A4290">
        <w:t xml:space="preserve">P </w:t>
      </w:r>
      <w:r>
        <w:t>Buechler</w:t>
      </w:r>
    </w:p>
    <w:p w14:paraId="568F5189" w14:textId="4B28A5EC" w:rsidR="00506D54" w:rsidRDefault="00506D54">
      <w:pPr>
        <w:pStyle w:val="BodyText"/>
        <w:spacing w:before="1"/>
        <w:ind w:left="1000"/>
      </w:pPr>
      <w:r>
        <w:t>EIPC Executive Director</w:t>
      </w:r>
    </w:p>
    <w:p w14:paraId="717232C3" w14:textId="4419B4BD" w:rsidR="00506D54" w:rsidRDefault="00D6023C">
      <w:pPr>
        <w:pStyle w:val="BodyText"/>
        <w:spacing w:before="1"/>
        <w:ind w:left="1000"/>
      </w:pPr>
      <w:hyperlink r:id="rId8" w:history="1">
        <w:r w:rsidR="00506D54" w:rsidRPr="00181E13">
          <w:rPr>
            <w:rStyle w:val="Hyperlink"/>
          </w:rPr>
          <w:t>jpbuechler@eipconline.com</w:t>
        </w:r>
      </w:hyperlink>
      <w:r w:rsidR="00506D54">
        <w:t xml:space="preserve"> </w:t>
      </w:r>
    </w:p>
    <w:p w14:paraId="29379AEA" w14:textId="30BCDB46" w:rsidR="00506D54" w:rsidRDefault="00506D54">
      <w:pPr>
        <w:pStyle w:val="BodyText"/>
        <w:spacing w:before="1"/>
        <w:ind w:left="1000"/>
      </w:pPr>
      <w:r>
        <w:t>631-499-1555</w:t>
      </w:r>
    </w:p>
    <w:p w14:paraId="222DEFA3" w14:textId="77777777" w:rsidR="004D691D" w:rsidRDefault="004D691D">
      <w:pPr>
        <w:pStyle w:val="BodyText"/>
        <w:spacing w:before="10"/>
        <w:rPr>
          <w:sz w:val="21"/>
        </w:rPr>
      </w:pPr>
    </w:p>
    <w:p w14:paraId="222DEFA6" w14:textId="77777777" w:rsidR="004D691D" w:rsidRDefault="004D691D">
      <w:pPr>
        <w:pStyle w:val="BodyText"/>
        <w:spacing w:before="1"/>
        <w:rPr>
          <w:sz w:val="20"/>
        </w:rPr>
      </w:pPr>
    </w:p>
    <w:p w14:paraId="222DEFA7" w14:textId="4B4AB3D8" w:rsidR="004D691D" w:rsidRDefault="00DB4F09" w:rsidP="00F07679">
      <w:pPr>
        <w:pStyle w:val="Heading1"/>
        <w:ind w:left="1211" w:right="1114" w:firstLine="950"/>
        <w:jc w:val="center"/>
      </w:pPr>
      <w:r>
        <w:t xml:space="preserve">Eastern Interconnection Planning Collaborative Completes Report on </w:t>
      </w:r>
      <w:r w:rsidR="00F07679">
        <w:t>Roll-Up Integration Cases for the</w:t>
      </w:r>
      <w:r>
        <w:t xml:space="preserve"> Eastern Interconnection</w:t>
      </w:r>
    </w:p>
    <w:p w14:paraId="222DEFA8" w14:textId="77777777" w:rsidR="004D691D" w:rsidRDefault="004D691D">
      <w:pPr>
        <w:pStyle w:val="BodyText"/>
        <w:rPr>
          <w:b/>
          <w:sz w:val="44"/>
        </w:rPr>
      </w:pPr>
    </w:p>
    <w:p w14:paraId="222DEFA9" w14:textId="61F62B24" w:rsidR="004D691D" w:rsidRDefault="00DB4F09">
      <w:pPr>
        <w:pStyle w:val="BodyText"/>
        <w:ind w:left="1000" w:right="139"/>
      </w:pPr>
      <w:r>
        <w:t xml:space="preserve">A report issued today on the </w:t>
      </w:r>
      <w:r w:rsidR="002D0327">
        <w:t xml:space="preserve">“Roll-Up Integration Cases” </w:t>
      </w:r>
      <w:r w:rsidR="002D0327" w:rsidRPr="00600B53">
        <w:t>for</w:t>
      </w:r>
      <w:r>
        <w:t xml:space="preserve"> the Eastern Interconnection describes the </w:t>
      </w:r>
      <w:r w:rsidR="00020808">
        <w:t xml:space="preserve">efforts </w:t>
      </w:r>
      <w:r>
        <w:t xml:space="preserve">undertaken to </w:t>
      </w:r>
      <w:r w:rsidR="00020808">
        <w:t xml:space="preserve">ensure transmission planning activities </w:t>
      </w:r>
      <w:r w:rsidR="00DD05A1">
        <w:t xml:space="preserve">maintain the reliability of the bulk power system and </w:t>
      </w:r>
      <w:r w:rsidR="00020808">
        <w:t xml:space="preserve">are </w:t>
      </w:r>
      <w:r w:rsidR="00DD05A1">
        <w:t>well-</w:t>
      </w:r>
      <w:r w:rsidR="00020808">
        <w:t>coordinated</w:t>
      </w:r>
      <w:r w:rsidR="00DD05A1">
        <w:t xml:space="preserve"> among the regions</w:t>
      </w:r>
      <w:r>
        <w:t>.</w:t>
      </w:r>
      <w:r w:rsidR="00E575E0">
        <w:t xml:space="preserve">  The Eastern Interconnection is a collection of power systems serving two-thirds of the US and Canada.</w:t>
      </w:r>
    </w:p>
    <w:p w14:paraId="222DEFAA" w14:textId="77777777" w:rsidR="004D691D" w:rsidRDefault="004D691D">
      <w:pPr>
        <w:pStyle w:val="BodyText"/>
        <w:spacing w:before="2"/>
      </w:pPr>
    </w:p>
    <w:p w14:paraId="222DEFAB" w14:textId="7F86D4BC" w:rsidR="004D691D" w:rsidRDefault="00DB4F09">
      <w:pPr>
        <w:pStyle w:val="BodyText"/>
        <w:ind w:left="1000" w:right="1004"/>
      </w:pPr>
      <w:r>
        <w:t>Th</w:t>
      </w:r>
      <w:r w:rsidR="009E737E">
        <w:t>is</w:t>
      </w:r>
      <w:r>
        <w:t xml:space="preserve"> report</w:t>
      </w:r>
      <w:r w:rsidR="002D0327">
        <w:t xml:space="preserve">, </w:t>
      </w:r>
      <w:r w:rsidR="009E737E">
        <w:t>the latest in a series dating back to 2011,</w:t>
      </w:r>
      <w:r>
        <w:t xml:space="preserve"> was produced by the Eastern Interconnection Planning Collaborative (EIPC), a coalition of 20 major transmission Planning Coordinators responsible for the planning of the bulk power grid throughout the Eastern Interconnection.</w:t>
      </w:r>
    </w:p>
    <w:p w14:paraId="222DEFAC" w14:textId="77777777" w:rsidR="004D691D" w:rsidRDefault="004D691D">
      <w:pPr>
        <w:pStyle w:val="BodyText"/>
        <w:spacing w:before="10"/>
        <w:rPr>
          <w:sz w:val="21"/>
        </w:rPr>
      </w:pPr>
    </w:p>
    <w:p w14:paraId="222DEFAD" w14:textId="3BE1F5AC" w:rsidR="004D691D" w:rsidRDefault="00DB4F09">
      <w:pPr>
        <w:pStyle w:val="BodyText"/>
        <w:ind w:left="1000" w:right="1053"/>
      </w:pPr>
      <w:r>
        <w:t xml:space="preserve">“The EIPC has completed a comprehensive </w:t>
      </w:r>
      <w:r w:rsidR="00246CAF">
        <w:t>update</w:t>
      </w:r>
      <w:r>
        <w:t xml:space="preserve"> of Eastern Interconnection Planning Collaborative </w:t>
      </w:r>
      <w:r w:rsidR="00246CAF">
        <w:t xml:space="preserve">assessments, </w:t>
      </w:r>
      <w:r>
        <w:t xml:space="preserve">including results from its </w:t>
      </w:r>
      <w:r w:rsidR="0099528E">
        <w:t xml:space="preserve">integrated </w:t>
      </w:r>
      <w:r>
        <w:t xml:space="preserve">studies and analyses on the regional transmission plans of the major systems that make up the Eastern Interconnection,” said </w:t>
      </w:r>
      <w:r w:rsidR="009E737E">
        <w:t>Keith Daniel</w:t>
      </w:r>
      <w:r>
        <w:t xml:space="preserve">, </w:t>
      </w:r>
      <w:r w:rsidR="009E737E">
        <w:t xml:space="preserve">senior </w:t>
      </w:r>
      <w:r>
        <w:t xml:space="preserve">vice president of </w:t>
      </w:r>
      <w:r w:rsidR="009E737E">
        <w:t xml:space="preserve">transmission policy at Georgia Transmission Corporation </w:t>
      </w:r>
      <w:r>
        <w:t>and chairman of the EIPC Executive Committee. “The report de</w:t>
      </w:r>
      <w:r w:rsidR="00CA1F4E">
        <w:t>monstrates that</w:t>
      </w:r>
      <w:r>
        <w:t xml:space="preserve"> </w:t>
      </w:r>
      <w:r w:rsidR="000518D2">
        <w:t>the</w:t>
      </w:r>
      <w:r w:rsidR="000735C1">
        <w:t xml:space="preserve">se regional plans </w:t>
      </w:r>
      <w:r w:rsidR="000518D2">
        <w:t xml:space="preserve">work </w:t>
      </w:r>
      <w:r w:rsidR="00125058">
        <w:t xml:space="preserve">well </w:t>
      </w:r>
      <w:r w:rsidR="000518D2">
        <w:t xml:space="preserve">together to maintain bulk power system reliability throughout </w:t>
      </w:r>
      <w:r>
        <w:t>the Eastern Interconnection.”</w:t>
      </w:r>
    </w:p>
    <w:p w14:paraId="222DEFAE" w14:textId="77777777" w:rsidR="004D691D" w:rsidRDefault="004D691D">
      <w:pPr>
        <w:pStyle w:val="BodyText"/>
      </w:pPr>
    </w:p>
    <w:p w14:paraId="222DEFAF" w14:textId="04FF4C28" w:rsidR="004D691D" w:rsidRDefault="00DB4F09">
      <w:pPr>
        <w:pStyle w:val="BodyText"/>
        <w:ind w:left="1000" w:right="918"/>
      </w:pPr>
      <w:r>
        <w:t xml:space="preserve">Given the size and significant diversity within the </w:t>
      </w:r>
      <w:r w:rsidR="00E575E0">
        <w:t xml:space="preserve">Eastern </w:t>
      </w:r>
      <w:r>
        <w:t>Interconnection, the collaboration among the Planning Coordinators through EIPC marks a significant milestone in the long history of industry cooperation and coordination.</w:t>
      </w:r>
    </w:p>
    <w:p w14:paraId="222DEFB0" w14:textId="77777777" w:rsidR="004D691D" w:rsidRDefault="004D691D">
      <w:pPr>
        <w:pStyle w:val="BodyText"/>
      </w:pPr>
    </w:p>
    <w:p w14:paraId="18E49435" w14:textId="669A890B" w:rsidR="004D691D" w:rsidRDefault="00DB4F09" w:rsidP="00624BBB">
      <w:pPr>
        <w:pStyle w:val="BodyText"/>
        <w:spacing w:before="1"/>
        <w:ind w:left="1000" w:right="979"/>
      </w:pPr>
      <w:r>
        <w:t>The report</w:t>
      </w:r>
      <w:r w:rsidR="0099528E">
        <w:t xml:space="preserve"> provides a current update of</w:t>
      </w:r>
      <w:r>
        <w:t xml:space="preserve"> the extensive work completed by EIPC since its inception in 2009</w:t>
      </w:r>
      <w:r w:rsidR="0099528E">
        <w:t xml:space="preserve"> </w:t>
      </w:r>
      <w:r>
        <w:t>to produce “roll-up reports” that combine the individual plans of each of the major Planning Coordinators in the Eastern Interconnection</w:t>
      </w:r>
      <w:r w:rsidR="0099528E">
        <w:t xml:space="preserve">.  Focusing on </w:t>
      </w:r>
      <w:r w:rsidR="00405C60">
        <w:t>the horizon year of 2028,</w:t>
      </w:r>
      <w:r>
        <w:t xml:space="preserve"> </w:t>
      </w:r>
      <w:r w:rsidR="00405C60">
        <w:t>the report</w:t>
      </w:r>
      <w:r>
        <w:t xml:space="preserve"> </w:t>
      </w:r>
      <w:r w:rsidR="00405C60">
        <w:t>demonstrates</w:t>
      </w:r>
      <w:r>
        <w:t xml:space="preserve"> that</w:t>
      </w:r>
      <w:r w:rsidR="000735C1">
        <w:t xml:space="preserve"> </w:t>
      </w:r>
      <w:r w:rsidR="00E575E0">
        <w:t xml:space="preserve">the </w:t>
      </w:r>
      <w:r w:rsidR="000735C1">
        <w:t xml:space="preserve">transmission system is being planned </w:t>
      </w:r>
      <w:r w:rsidR="007A0399">
        <w:t xml:space="preserve">to preserve </w:t>
      </w:r>
      <w:r w:rsidR="00624BBB">
        <w:t xml:space="preserve">the </w:t>
      </w:r>
      <w:r w:rsidR="00DD05A1">
        <w:t xml:space="preserve">reliably </w:t>
      </w:r>
      <w:r w:rsidR="00624BBB">
        <w:t>of the Eastern Interconnection</w:t>
      </w:r>
      <w:r>
        <w:t xml:space="preserve">. In addition, the EIPC </w:t>
      </w:r>
      <w:r>
        <w:lastRenderedPageBreak/>
        <w:t xml:space="preserve">reports may identify potential constraints resulting from interconnection-wide power flow interactions and provide feedback to the Planning Coordinators to enhance </w:t>
      </w:r>
      <w:r w:rsidR="00405C60">
        <w:t xml:space="preserve">their </w:t>
      </w:r>
      <w:r>
        <w:t xml:space="preserve">regional plans. The roll-up studies </w:t>
      </w:r>
      <w:r w:rsidR="00405C60">
        <w:t xml:space="preserve">provide </w:t>
      </w:r>
      <w:r w:rsidR="008C031C">
        <w:t>solved power-flow</w:t>
      </w:r>
      <w:r w:rsidR="00405C60">
        <w:t xml:space="preserve"> models </w:t>
      </w:r>
      <w:r w:rsidR="008C031C">
        <w:t>suitable as a starting point for interconnection-wide transmission analysis</w:t>
      </w:r>
      <w:r w:rsidR="00E575E0">
        <w:t>. These models</w:t>
      </w:r>
      <w:r w:rsidR="00405C60">
        <w:t xml:space="preserve"> </w:t>
      </w:r>
      <w:r w:rsidR="008C031C">
        <w:t xml:space="preserve">are available to policy makers, regulators and other stakeholders </w:t>
      </w:r>
      <w:r>
        <w:t>to analyze various future scenarios</w:t>
      </w:r>
      <w:r w:rsidR="008C031C">
        <w:t xml:space="preserve"> of</w:t>
      </w:r>
      <w:r w:rsidR="00624BBB">
        <w:t xml:space="preserve"> </w:t>
      </w:r>
      <w:r w:rsidR="008C031C">
        <w:t>interes</w:t>
      </w:r>
      <w:r w:rsidR="00292527">
        <w:t>t.</w:t>
      </w:r>
    </w:p>
    <w:p w14:paraId="31953D3A" w14:textId="77777777" w:rsidR="00292527" w:rsidRDefault="00292527" w:rsidP="00405C60">
      <w:pPr>
        <w:pStyle w:val="BodyText"/>
        <w:spacing w:before="1"/>
        <w:ind w:left="1000" w:right="979"/>
      </w:pPr>
    </w:p>
    <w:p w14:paraId="7572B0F6" w14:textId="2B2664DE" w:rsidR="00292527" w:rsidRDefault="00BF644C" w:rsidP="004A4290">
      <w:pPr>
        <w:pStyle w:val="BodyText"/>
        <w:spacing w:before="1"/>
        <w:ind w:left="1000" w:right="979"/>
      </w:pPr>
      <w:r>
        <w:t>This report as well as other s</w:t>
      </w:r>
      <w:r w:rsidR="00292527">
        <w:t xml:space="preserve">tudies completed by EIPC demonstrate that the respective Planning Coordinator transmission planning and interconnection processes have yielded transmission plans that are well-coordinated on a regional and interconnection-wide basis. EIPC studies also show that Planning Coordinators’ regional transmission plans, including generator retirements and additions, will require continued study </w:t>
      </w:r>
      <w:r w:rsidR="0020679C">
        <w:t xml:space="preserve">and </w:t>
      </w:r>
      <w:r w:rsidR="00292527">
        <w:t xml:space="preserve">interconnection-wide coordination to ensure that individual regional plans do not conflict with </w:t>
      </w:r>
      <w:r w:rsidR="004B296A">
        <w:t xml:space="preserve">the </w:t>
      </w:r>
      <w:r w:rsidR="00292527">
        <w:t>regional plans</w:t>
      </w:r>
      <w:r w:rsidR="004B296A">
        <w:t xml:space="preserve"> of other Planning Coordinators</w:t>
      </w:r>
      <w:r w:rsidR="00292527">
        <w:t>.</w:t>
      </w:r>
    </w:p>
    <w:p w14:paraId="1D548088" w14:textId="29E06A7E" w:rsidR="00292527" w:rsidRDefault="00292527" w:rsidP="00405C60">
      <w:pPr>
        <w:pStyle w:val="BodyText"/>
        <w:spacing w:before="1"/>
        <w:ind w:left="1000" w:right="979"/>
      </w:pPr>
    </w:p>
    <w:p w14:paraId="671F16E4" w14:textId="77777777" w:rsidR="00B940D6" w:rsidRDefault="00BF644C" w:rsidP="004A4290">
      <w:pPr>
        <w:pStyle w:val="BodyText"/>
        <w:spacing w:before="1"/>
        <w:ind w:left="1000" w:right="979"/>
      </w:pPr>
      <w:r w:rsidRPr="00BF644C">
        <w:t>The report</w:t>
      </w:r>
      <w:r w:rsidR="00DB674C">
        <w:t xml:space="preserve"> that is</w:t>
      </w:r>
      <w:r w:rsidR="004853C7">
        <w:t xml:space="preserve"> available</w:t>
      </w:r>
      <w:r w:rsidRPr="00BF644C">
        <w:t xml:space="preserve"> for use by the public can be found on the EIPC Website at</w:t>
      </w:r>
      <w:r w:rsidRPr="004A4290">
        <w:t xml:space="preserve">: </w:t>
      </w:r>
    </w:p>
    <w:p w14:paraId="4FC8CE9F" w14:textId="671EB51F" w:rsidR="00B940D6" w:rsidRDefault="00D6023C" w:rsidP="004A4290">
      <w:pPr>
        <w:pStyle w:val="BodyText"/>
        <w:spacing w:before="1"/>
        <w:ind w:left="1000" w:right="979"/>
      </w:pPr>
      <w:hyperlink r:id="rId9" w:history="1">
        <w:r w:rsidR="00B940D6" w:rsidRPr="00736E71">
          <w:rPr>
            <w:rStyle w:val="Hyperlink"/>
          </w:rPr>
          <w:t>https://static1.squarespace.com/static/5b1032e545776e01e7058845/t/5d7bcc99ab124176b6f8ce17/1568394394545/EIPC_Roll-Up_Report_2019_public_Final.pdf</w:t>
        </w:r>
      </w:hyperlink>
      <w:r w:rsidR="00B940D6">
        <w:t xml:space="preserve"> </w:t>
      </w:r>
    </w:p>
    <w:p w14:paraId="2BC17A65" w14:textId="77777777" w:rsidR="00B940D6" w:rsidRDefault="00B940D6" w:rsidP="004A4290">
      <w:pPr>
        <w:pStyle w:val="BodyText"/>
        <w:spacing w:before="1"/>
        <w:ind w:left="1000" w:right="979"/>
      </w:pPr>
    </w:p>
    <w:p w14:paraId="4A502C96" w14:textId="55B56A72" w:rsidR="00BF644C" w:rsidRPr="004A4290" w:rsidRDefault="00BF644C" w:rsidP="004A4290">
      <w:pPr>
        <w:pStyle w:val="BodyText"/>
        <w:spacing w:before="1"/>
        <w:ind w:left="1000" w:right="979"/>
      </w:pPr>
      <w:r w:rsidRPr="004A4290">
        <w:t xml:space="preserve">A more detailed </w:t>
      </w:r>
      <w:r w:rsidR="00CA1F4E" w:rsidRPr="004A4290">
        <w:t>r</w:t>
      </w:r>
      <w:r w:rsidRPr="004A4290">
        <w:t>eport is available to all stakeholders who are eligible to obtain critical energy infrastructure information (CEII) in accordance with procedures established by the EIPC.</w:t>
      </w:r>
    </w:p>
    <w:p w14:paraId="216225A3" w14:textId="27292448" w:rsidR="00BF644C" w:rsidRPr="00BF644C" w:rsidRDefault="00BF644C" w:rsidP="00405C60">
      <w:pPr>
        <w:pStyle w:val="BodyText"/>
        <w:spacing w:before="1"/>
        <w:ind w:left="1000" w:right="979"/>
      </w:pPr>
    </w:p>
    <w:p w14:paraId="44927922" w14:textId="77777777" w:rsidR="00BF644C" w:rsidRDefault="00BF644C" w:rsidP="00405C60">
      <w:pPr>
        <w:pStyle w:val="BodyText"/>
        <w:spacing w:before="1"/>
        <w:ind w:left="1000" w:right="979"/>
      </w:pPr>
    </w:p>
    <w:p w14:paraId="53550346" w14:textId="77777777" w:rsidR="00292527" w:rsidRDefault="00292527" w:rsidP="00292527">
      <w:pPr>
        <w:spacing w:before="94"/>
        <w:ind w:left="1000"/>
        <w:rPr>
          <w:b/>
        </w:rPr>
      </w:pPr>
      <w:r>
        <w:rPr>
          <w:b/>
        </w:rPr>
        <w:t>About the EIPC</w:t>
      </w:r>
    </w:p>
    <w:p w14:paraId="7F6B6D11" w14:textId="77777777" w:rsidR="00292527" w:rsidRDefault="00292527" w:rsidP="00292527">
      <w:pPr>
        <w:pStyle w:val="BodyText"/>
        <w:rPr>
          <w:b/>
        </w:rPr>
      </w:pPr>
    </w:p>
    <w:p w14:paraId="574420CE" w14:textId="2C8985D8" w:rsidR="00292527" w:rsidRDefault="00292527" w:rsidP="00292527">
      <w:pPr>
        <w:pStyle w:val="BodyText"/>
        <w:spacing w:before="1"/>
        <w:ind w:left="1000" w:right="931"/>
      </w:pPr>
      <w:r>
        <w:t xml:space="preserve">Formed under an agreement by 20 planning authorities from the Eastern United States and Canada, the EIPC has developed a “bottom-up” approach to transmission planning, starting with a roll-up of the existing grid expansion plans of electric system planning authorities in the Eastern Interconnection. The EIPC membership includes Associated Electric Cooperative, Inc.; Cube Hydro Carolinas, LLC; </w:t>
      </w:r>
      <w:r w:rsidR="00B42AAF">
        <w:rPr>
          <w:rFonts w:eastAsia="Times New Roman"/>
          <w:noProof/>
          <w:color w:val="000000"/>
        </w:rPr>
        <w:t xml:space="preserve">Dominion Energy South Carolina, Inc.; </w:t>
      </w:r>
      <w:r>
        <w:t>Duke Energy Carolinas, Duke Energy Florida, and Duke Energy Progress; Louisville Gas &amp; Electric Company and Kentucky Utilities Company; Florida Power &amp; Light Company; Georgia Transmission Corporation (An Electric Membership Corporation); ISO New England, Inc.; JEA; Midcontinent Independent Transmission System Operator, Inc.; Municipal Electric Authority of Georgia; New York Independent System Operator, Inc.; PJM Interconnection; Powe</w:t>
      </w:r>
      <w:r w:rsidR="00BF644C">
        <w:t xml:space="preserve">r </w:t>
      </w:r>
      <w:r>
        <w:t>South Energy Cooperative; South Carolina Public Service Authority (Santee Cooper); Southern Company Services Inc., as agent for Alabama Power Company, Georgia Power Company, and Mississippi Power Company; Southwest Power Pool, Inc.; and the Tennessee Valley Authority.</w:t>
      </w:r>
    </w:p>
    <w:p w14:paraId="6BAB73F2" w14:textId="77777777" w:rsidR="00292527" w:rsidRDefault="00292527" w:rsidP="00292527">
      <w:pPr>
        <w:pStyle w:val="BodyText"/>
        <w:spacing w:before="1"/>
      </w:pPr>
    </w:p>
    <w:p w14:paraId="222DEFB9" w14:textId="0CF32481" w:rsidR="004D691D" w:rsidRDefault="00292527" w:rsidP="004A4290">
      <w:pPr>
        <w:pStyle w:val="BodyText"/>
        <w:spacing w:before="1"/>
        <w:ind w:left="100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760F" wp14:editId="30EBE887">
                <wp:simplePos x="0" y="0"/>
                <wp:positionH relativeFrom="page">
                  <wp:posOffset>2798445</wp:posOffset>
                </wp:positionH>
                <wp:positionV relativeFrom="paragraph">
                  <wp:posOffset>152400</wp:posOffset>
                </wp:positionV>
                <wp:extent cx="931545" cy="0"/>
                <wp:effectExtent l="7620" t="13970" r="1333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8D5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35pt,12pt" to="293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" strokecolor="purple" strokeweight=".84pt">
                <w10:wrap anchorx="page"/>
              </v:line>
            </w:pict>
          </mc:Fallback>
        </mc:AlternateContent>
      </w:r>
      <w:r>
        <w:t xml:space="preserve">For more information, visit </w:t>
      </w:r>
      <w:hyperlink r:id="rId10">
        <w:r>
          <w:rPr>
            <w:color w:val="800080"/>
          </w:rPr>
          <w:t>eipconline.com</w:t>
        </w:r>
      </w:hyperlink>
    </w:p>
    <w:sectPr w:rsidR="004D691D">
      <w:footerReference w:type="default" r:id="rId11"/>
      <w:pgSz w:w="12240" w:h="15840"/>
      <w:pgMar w:top="1360" w:right="880" w:bottom="940" w:left="8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7ABF" w14:textId="77777777" w:rsidR="00395AE0" w:rsidRDefault="00395AE0">
      <w:r>
        <w:separator/>
      </w:r>
    </w:p>
  </w:endnote>
  <w:endnote w:type="continuationSeparator" w:id="0">
    <w:p w14:paraId="6F0ED404" w14:textId="77777777" w:rsidR="00395AE0" w:rsidRDefault="003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EFC3" w14:textId="3BD50FC0" w:rsidR="004D691D" w:rsidRDefault="008C031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2DEFC4" wp14:editId="1D6B6381">
              <wp:simplePos x="0" y="0"/>
              <wp:positionH relativeFrom="page">
                <wp:posOffset>3826510</wp:posOffset>
              </wp:positionH>
              <wp:positionV relativeFrom="page">
                <wp:posOffset>9446895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DEFC5" w14:textId="73B55FC0" w:rsidR="004D691D" w:rsidRDefault="00DB4F09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05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DE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43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vYT8w+EAAAANAQAADwAA&#10;AAAAAAAAAAAAAAAEBQAAZHJzL2Rvd25yZXYueG1sUEsFBgAAAAAEAAQA8wAAABIGAAAAAA==&#10;" filled="f" stroked="f">
              <v:textbox inset="0,0,0,0">
                <w:txbxContent>
                  <w:p w14:paraId="222DEFC5" w14:textId="73B55FC0" w:rsidR="004D691D" w:rsidRDefault="00DB4F09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05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51EF" w14:textId="77777777" w:rsidR="00395AE0" w:rsidRDefault="00395AE0">
      <w:r>
        <w:separator/>
      </w:r>
    </w:p>
  </w:footnote>
  <w:footnote w:type="continuationSeparator" w:id="0">
    <w:p w14:paraId="31A1C392" w14:textId="77777777" w:rsidR="00395AE0" w:rsidRDefault="003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1D"/>
    <w:rsid w:val="00020808"/>
    <w:rsid w:val="000518D2"/>
    <w:rsid w:val="000526AB"/>
    <w:rsid w:val="000735C1"/>
    <w:rsid w:val="00125058"/>
    <w:rsid w:val="0020679C"/>
    <w:rsid w:val="0024023F"/>
    <w:rsid w:val="00246CAF"/>
    <w:rsid w:val="00292527"/>
    <w:rsid w:val="002B41AC"/>
    <w:rsid w:val="002D0327"/>
    <w:rsid w:val="00395AE0"/>
    <w:rsid w:val="00405C60"/>
    <w:rsid w:val="00465C89"/>
    <w:rsid w:val="00476C50"/>
    <w:rsid w:val="004853C7"/>
    <w:rsid w:val="004A4290"/>
    <w:rsid w:val="004B296A"/>
    <w:rsid w:val="004D691D"/>
    <w:rsid w:val="00506D54"/>
    <w:rsid w:val="00554513"/>
    <w:rsid w:val="0059320A"/>
    <w:rsid w:val="00596367"/>
    <w:rsid w:val="005A3378"/>
    <w:rsid w:val="00600B53"/>
    <w:rsid w:val="00617596"/>
    <w:rsid w:val="00624BBB"/>
    <w:rsid w:val="00635928"/>
    <w:rsid w:val="007A0399"/>
    <w:rsid w:val="007F5FC7"/>
    <w:rsid w:val="008C031C"/>
    <w:rsid w:val="008C724C"/>
    <w:rsid w:val="0099528E"/>
    <w:rsid w:val="009E737E"/>
    <w:rsid w:val="00B42AAF"/>
    <w:rsid w:val="00B940D6"/>
    <w:rsid w:val="00BB1B9A"/>
    <w:rsid w:val="00BF644C"/>
    <w:rsid w:val="00CA1F4E"/>
    <w:rsid w:val="00D46608"/>
    <w:rsid w:val="00D6023C"/>
    <w:rsid w:val="00DB4F09"/>
    <w:rsid w:val="00DB674C"/>
    <w:rsid w:val="00DD05A1"/>
    <w:rsid w:val="00E575E0"/>
    <w:rsid w:val="00EB6C1E"/>
    <w:rsid w:val="00F07679"/>
    <w:rsid w:val="00F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2DEF9D"/>
  <w15:docId w15:val="{8A57D85C-A366-474F-93AC-B3C7ECF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6D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09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2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96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96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4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buechler@eipconli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ipc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b1032e545776e01e7058845/t/5d7bcc99ab124176b6f8ce17/1568394394545/EIPC_Roll-Up_Report_2019_public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74CB-0549-45C0-96E4-B28E68AF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David Whiteley</dc:creator>
  <cp:lastModifiedBy>John Buechler</cp:lastModifiedBy>
  <cp:revision>2</cp:revision>
  <cp:lastPrinted>2019-09-11T11:55:00Z</cp:lastPrinted>
  <dcterms:created xsi:type="dcterms:W3CDTF">2019-09-20T14:36:00Z</dcterms:created>
  <dcterms:modified xsi:type="dcterms:W3CDTF">2019-09-20T14:36:00Z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2019-05-15T00:00:00Z</vt:filetime>
  </property>
</Properties>
</file>