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0293B" w14:textId="77777777" w:rsidR="00180A98" w:rsidRPr="00180A98" w:rsidRDefault="00180A98" w:rsidP="00180A98">
      <w:pPr>
        <w:spacing w:after="0"/>
        <w:jc w:val="center"/>
        <w:rPr>
          <w:b/>
          <w:sz w:val="24"/>
          <w:szCs w:val="24"/>
        </w:rPr>
      </w:pPr>
      <w:bookmarkStart w:id="0" w:name="_GoBack"/>
      <w:bookmarkEnd w:id="0"/>
      <w:r w:rsidRPr="00180A98">
        <w:rPr>
          <w:b/>
          <w:sz w:val="24"/>
          <w:szCs w:val="24"/>
        </w:rPr>
        <w:t>Scenario 1</w:t>
      </w:r>
    </w:p>
    <w:p w14:paraId="543AADCD" w14:textId="77777777" w:rsidR="00180A98" w:rsidRDefault="00180A98" w:rsidP="00180A98">
      <w:pPr>
        <w:spacing w:after="0"/>
        <w:rPr>
          <w:sz w:val="24"/>
          <w:szCs w:val="24"/>
        </w:rPr>
      </w:pPr>
    </w:p>
    <w:p w14:paraId="6A2A647E" w14:textId="77777777" w:rsidR="00180A98" w:rsidRPr="00180A98" w:rsidRDefault="00180A98" w:rsidP="00180A98">
      <w:pPr>
        <w:spacing w:after="0"/>
        <w:rPr>
          <w:sz w:val="24"/>
          <w:szCs w:val="24"/>
        </w:rPr>
      </w:pPr>
      <w:r w:rsidRPr="00180A98">
        <w:rPr>
          <w:b/>
          <w:sz w:val="24"/>
          <w:szCs w:val="24"/>
        </w:rPr>
        <w:t>Scenario Title:</w:t>
      </w:r>
      <w:r w:rsidRPr="00180A98">
        <w:rPr>
          <w:sz w:val="24"/>
          <w:szCs w:val="24"/>
        </w:rPr>
        <w:t xml:space="preserve"> Inter-Regional Capabilities and Constraints during Winter Conditions</w:t>
      </w:r>
    </w:p>
    <w:p w14:paraId="775E1980" w14:textId="77777777" w:rsidR="00180A98" w:rsidRPr="00180A98" w:rsidRDefault="00180A98" w:rsidP="00180A98">
      <w:pPr>
        <w:spacing w:after="0"/>
        <w:rPr>
          <w:sz w:val="24"/>
          <w:szCs w:val="24"/>
        </w:rPr>
      </w:pPr>
      <w:r w:rsidRPr="00180A98">
        <w:rPr>
          <w:b/>
          <w:sz w:val="24"/>
          <w:szCs w:val="24"/>
        </w:rPr>
        <w:t>Scenario Submitted by:</w:t>
      </w:r>
      <w:r w:rsidRPr="00180A98">
        <w:rPr>
          <w:sz w:val="24"/>
          <w:szCs w:val="24"/>
        </w:rPr>
        <w:t xml:space="preserve"> Example Scenario 1</w:t>
      </w:r>
    </w:p>
    <w:p w14:paraId="70053AA2" w14:textId="77777777" w:rsidR="00180A98" w:rsidRPr="00180A98" w:rsidRDefault="00180A98" w:rsidP="00180A98">
      <w:pPr>
        <w:spacing w:after="0"/>
        <w:rPr>
          <w:sz w:val="24"/>
          <w:szCs w:val="24"/>
        </w:rPr>
      </w:pPr>
      <w:r w:rsidRPr="00180A98">
        <w:rPr>
          <w:b/>
          <w:sz w:val="24"/>
          <w:szCs w:val="24"/>
        </w:rPr>
        <w:t>Study Case:</w:t>
      </w:r>
      <w:r w:rsidRPr="00180A98">
        <w:rPr>
          <w:sz w:val="24"/>
          <w:szCs w:val="24"/>
        </w:rPr>
        <w:t xml:space="preserve"> 20</w:t>
      </w:r>
      <w:r>
        <w:rPr>
          <w:sz w:val="24"/>
          <w:szCs w:val="24"/>
        </w:rPr>
        <w:t>25</w:t>
      </w:r>
      <w:r w:rsidRPr="00180A98">
        <w:rPr>
          <w:sz w:val="24"/>
          <w:szCs w:val="24"/>
        </w:rPr>
        <w:t xml:space="preserve"> Winter Peak</w:t>
      </w:r>
    </w:p>
    <w:p w14:paraId="13A751DD" w14:textId="77777777" w:rsidR="00180A98" w:rsidRDefault="00180A98" w:rsidP="00180A98">
      <w:pPr>
        <w:spacing w:after="0"/>
        <w:rPr>
          <w:sz w:val="24"/>
          <w:szCs w:val="24"/>
        </w:rPr>
      </w:pPr>
    </w:p>
    <w:p w14:paraId="14FC4C40" w14:textId="77777777" w:rsidR="00180A98" w:rsidRPr="00180A98" w:rsidRDefault="00180A98" w:rsidP="00180A98">
      <w:pPr>
        <w:spacing w:after="0"/>
        <w:rPr>
          <w:sz w:val="24"/>
          <w:szCs w:val="24"/>
          <w:u w:val="single"/>
        </w:rPr>
      </w:pPr>
      <w:r w:rsidRPr="00180A98">
        <w:rPr>
          <w:sz w:val="24"/>
          <w:szCs w:val="24"/>
          <w:u w:val="single"/>
        </w:rPr>
        <w:t>General Description and Premise</w:t>
      </w:r>
    </w:p>
    <w:p w14:paraId="2E05F93C" w14:textId="77777777" w:rsidR="00180A98" w:rsidRPr="00180A98" w:rsidRDefault="00180A98" w:rsidP="00180A98">
      <w:pPr>
        <w:spacing w:after="0"/>
        <w:rPr>
          <w:sz w:val="24"/>
          <w:szCs w:val="24"/>
        </w:rPr>
      </w:pPr>
      <w:r w:rsidRPr="00180A98">
        <w:rPr>
          <w:sz w:val="24"/>
          <w:szCs w:val="24"/>
        </w:rPr>
        <w:t>This scenario would assess the Eastern Interconnection’s ability to transfer large amounts of power among regions of interest during winter peak conditions</w:t>
      </w:r>
      <w:r w:rsidR="003A6D1F">
        <w:rPr>
          <w:sz w:val="24"/>
          <w:szCs w:val="24"/>
        </w:rPr>
        <w:t xml:space="preserve"> when natural gas supplies for electric generation may become limited</w:t>
      </w:r>
      <w:r w:rsidRPr="00180A98">
        <w:rPr>
          <w:sz w:val="24"/>
          <w:szCs w:val="24"/>
        </w:rPr>
        <w:t xml:space="preserve">. </w:t>
      </w:r>
      <w:r>
        <w:rPr>
          <w:sz w:val="24"/>
          <w:szCs w:val="24"/>
        </w:rPr>
        <w:t xml:space="preserve"> </w:t>
      </w:r>
      <w:r w:rsidR="003A6D1F">
        <w:rPr>
          <w:sz w:val="24"/>
          <w:szCs w:val="24"/>
        </w:rPr>
        <w:t>W</w:t>
      </w:r>
      <w:r w:rsidRPr="00180A98">
        <w:rPr>
          <w:sz w:val="24"/>
          <w:szCs w:val="24"/>
        </w:rPr>
        <w:t xml:space="preserve">inter operations are growing in complexity as gas-fired generation, renewables, and demand-side options continue to increase as percentage of the overall generation mix. </w:t>
      </w:r>
      <w:r>
        <w:rPr>
          <w:sz w:val="24"/>
          <w:szCs w:val="24"/>
        </w:rPr>
        <w:t xml:space="preserve"> </w:t>
      </w:r>
      <w:r w:rsidRPr="00180A98">
        <w:rPr>
          <w:sz w:val="24"/>
          <w:szCs w:val="24"/>
        </w:rPr>
        <w:t xml:space="preserve">Many factors come in to play during winter conditions. </w:t>
      </w:r>
      <w:r>
        <w:rPr>
          <w:sz w:val="24"/>
          <w:szCs w:val="24"/>
        </w:rPr>
        <w:t xml:space="preserve"> </w:t>
      </w:r>
      <w:r w:rsidRPr="00180A98">
        <w:rPr>
          <w:sz w:val="24"/>
          <w:szCs w:val="24"/>
        </w:rPr>
        <w:t xml:space="preserve">Gas pipeline capacity is more constrained during winter than summer conditions. </w:t>
      </w:r>
      <w:r>
        <w:rPr>
          <w:sz w:val="24"/>
          <w:szCs w:val="24"/>
        </w:rPr>
        <w:t xml:space="preserve"> </w:t>
      </w:r>
      <w:r w:rsidRPr="00180A98">
        <w:rPr>
          <w:sz w:val="24"/>
          <w:szCs w:val="24"/>
        </w:rPr>
        <w:t>Wind resources generally have higher capacity factors while solar resources have shorter production hours.</w:t>
      </w:r>
      <w:r>
        <w:rPr>
          <w:sz w:val="24"/>
          <w:szCs w:val="24"/>
        </w:rPr>
        <w:t xml:space="preserve"> </w:t>
      </w:r>
      <w:r w:rsidRPr="00180A98">
        <w:rPr>
          <w:sz w:val="24"/>
          <w:szCs w:val="24"/>
        </w:rPr>
        <w:t xml:space="preserve"> Load profiles are different and may impact the availability of demand-side options. </w:t>
      </w:r>
      <w:r>
        <w:rPr>
          <w:sz w:val="24"/>
          <w:szCs w:val="24"/>
        </w:rPr>
        <w:t xml:space="preserve"> </w:t>
      </w:r>
      <w:r w:rsidRPr="00180A98">
        <w:rPr>
          <w:sz w:val="24"/>
          <w:szCs w:val="24"/>
        </w:rPr>
        <w:t xml:space="preserve">Facility ratings are typically higher, enabling flow patterns that may not be feasible at other times. </w:t>
      </w:r>
      <w:r>
        <w:rPr>
          <w:sz w:val="24"/>
          <w:szCs w:val="24"/>
        </w:rPr>
        <w:t xml:space="preserve"> </w:t>
      </w:r>
      <w:r w:rsidRPr="00180A98">
        <w:rPr>
          <w:sz w:val="24"/>
          <w:szCs w:val="24"/>
        </w:rPr>
        <w:t>This scenario would provide both an assessment of inter-regional capabilities and constraints for 20</w:t>
      </w:r>
      <w:r>
        <w:rPr>
          <w:sz w:val="24"/>
          <w:szCs w:val="24"/>
        </w:rPr>
        <w:t>25</w:t>
      </w:r>
      <w:r w:rsidRPr="00180A98">
        <w:rPr>
          <w:sz w:val="24"/>
          <w:szCs w:val="24"/>
        </w:rPr>
        <w:t xml:space="preserve"> winter conditions, and also would provide suitable modeling to enable independent analysis by transmission planners and other industry analysts.</w:t>
      </w:r>
    </w:p>
    <w:p w14:paraId="36373F4D" w14:textId="77777777" w:rsidR="00180A98" w:rsidRDefault="00180A98" w:rsidP="00180A98">
      <w:pPr>
        <w:spacing w:after="0"/>
        <w:rPr>
          <w:sz w:val="24"/>
          <w:szCs w:val="24"/>
        </w:rPr>
      </w:pPr>
    </w:p>
    <w:p w14:paraId="008431E9" w14:textId="77777777" w:rsidR="00180A98" w:rsidRPr="00180A98" w:rsidRDefault="00180A98" w:rsidP="00180A98">
      <w:pPr>
        <w:spacing w:after="0"/>
        <w:rPr>
          <w:sz w:val="24"/>
          <w:szCs w:val="24"/>
        </w:rPr>
      </w:pPr>
      <w:r w:rsidRPr="00180A98">
        <w:rPr>
          <w:sz w:val="24"/>
          <w:szCs w:val="24"/>
        </w:rPr>
        <w:t xml:space="preserve">In this scenario, the EIPC SSMLFWG planners would </w:t>
      </w:r>
      <w:r>
        <w:rPr>
          <w:sz w:val="24"/>
          <w:szCs w:val="24"/>
        </w:rPr>
        <w:t xml:space="preserve">utilize the 2025 Winter Peak Roll-up Case of </w:t>
      </w:r>
      <w:proofErr w:type="gramStart"/>
      <w:r>
        <w:rPr>
          <w:sz w:val="24"/>
          <w:szCs w:val="24"/>
        </w:rPr>
        <w:t>the</w:t>
      </w:r>
      <w:proofErr w:type="gramEnd"/>
      <w:r>
        <w:rPr>
          <w:sz w:val="24"/>
          <w:szCs w:val="24"/>
        </w:rPr>
        <w:t xml:space="preserve"> Eastern Interconnection </w:t>
      </w:r>
      <w:r w:rsidRPr="00180A98">
        <w:rPr>
          <w:sz w:val="24"/>
          <w:szCs w:val="24"/>
        </w:rPr>
        <w:t>develop</w:t>
      </w:r>
      <w:r>
        <w:rPr>
          <w:sz w:val="24"/>
          <w:szCs w:val="24"/>
        </w:rPr>
        <w:t xml:space="preserve">ed in 2015.  </w:t>
      </w:r>
      <w:r w:rsidRPr="00180A98">
        <w:rPr>
          <w:sz w:val="24"/>
          <w:szCs w:val="24"/>
        </w:rPr>
        <w:t>The EIPC SSMLFWG would then assess the ability of the system to move power among specific regions of interest during winter peak conditions and identify associated transmission constraints</w:t>
      </w:r>
      <w:r w:rsidR="003A6D1F">
        <w:rPr>
          <w:sz w:val="24"/>
          <w:szCs w:val="24"/>
        </w:rPr>
        <w:t xml:space="preserve"> during times when natural gas supplies for electric generation are constrained on a regional basis</w:t>
      </w:r>
      <w:r w:rsidRPr="00180A98">
        <w:rPr>
          <w:sz w:val="24"/>
          <w:szCs w:val="24"/>
        </w:rPr>
        <w:t xml:space="preserve">. </w:t>
      </w:r>
      <w:r>
        <w:rPr>
          <w:sz w:val="24"/>
          <w:szCs w:val="24"/>
        </w:rPr>
        <w:t xml:space="preserve"> </w:t>
      </w:r>
      <w:r w:rsidRPr="00180A98">
        <w:rPr>
          <w:sz w:val="24"/>
          <w:szCs w:val="24"/>
        </w:rPr>
        <w:t>The results of the analysis may identify potential constraints between regions during winter peak conditions.</w:t>
      </w:r>
      <w:r w:rsidR="0069715D">
        <w:rPr>
          <w:sz w:val="24"/>
          <w:szCs w:val="24"/>
        </w:rPr>
        <w:t xml:space="preserve">  </w:t>
      </w:r>
      <w:r w:rsidRPr="00180A98">
        <w:rPr>
          <w:sz w:val="24"/>
          <w:szCs w:val="24"/>
        </w:rPr>
        <w:t xml:space="preserve">The results may also provide insight into the ability to access neighboring regions for assistance during severe winter conditions. </w:t>
      </w:r>
      <w:r w:rsidR="0069715D">
        <w:rPr>
          <w:sz w:val="24"/>
          <w:szCs w:val="24"/>
        </w:rPr>
        <w:t xml:space="preserve"> </w:t>
      </w:r>
      <w:r w:rsidRPr="00180A98">
        <w:rPr>
          <w:sz w:val="24"/>
          <w:szCs w:val="24"/>
        </w:rPr>
        <w:t>In addition to the EIPC SSMLFWG analysis conducted through the scenario, the modeling will be available to planners and other interested parties to conduct independent analyses of specific winter conditions and resource scenarios.</w:t>
      </w:r>
    </w:p>
    <w:p w14:paraId="6A7B6F50" w14:textId="77777777" w:rsidR="0069715D" w:rsidRDefault="0069715D" w:rsidP="00180A98">
      <w:pPr>
        <w:spacing w:after="0"/>
        <w:rPr>
          <w:sz w:val="24"/>
          <w:szCs w:val="24"/>
        </w:rPr>
      </w:pPr>
    </w:p>
    <w:p w14:paraId="1C6A4EB2" w14:textId="77777777" w:rsidR="00180A98" w:rsidRPr="0069715D" w:rsidRDefault="00180A98" w:rsidP="00180A98">
      <w:pPr>
        <w:spacing w:after="0"/>
        <w:rPr>
          <w:sz w:val="24"/>
          <w:szCs w:val="24"/>
          <w:u w:val="single"/>
        </w:rPr>
      </w:pPr>
      <w:r w:rsidRPr="0069715D">
        <w:rPr>
          <w:sz w:val="24"/>
          <w:szCs w:val="24"/>
          <w:u w:val="single"/>
        </w:rPr>
        <w:t>Questions to be Answered Based on Power Flow Analysis</w:t>
      </w:r>
    </w:p>
    <w:p w14:paraId="3559C08E" w14:textId="77777777" w:rsidR="0069715D" w:rsidRDefault="0069715D" w:rsidP="00180A98">
      <w:pPr>
        <w:spacing w:after="0"/>
        <w:rPr>
          <w:sz w:val="24"/>
          <w:szCs w:val="24"/>
        </w:rPr>
      </w:pPr>
    </w:p>
    <w:p w14:paraId="4F3CE2C6" w14:textId="77777777" w:rsidR="003A6D1F" w:rsidRPr="00614463" w:rsidRDefault="00180A98" w:rsidP="00614463">
      <w:pPr>
        <w:pStyle w:val="ListParagraph"/>
        <w:numPr>
          <w:ilvl w:val="0"/>
          <w:numId w:val="5"/>
        </w:numPr>
        <w:spacing w:after="0"/>
        <w:rPr>
          <w:sz w:val="24"/>
          <w:szCs w:val="24"/>
        </w:rPr>
      </w:pPr>
      <w:r w:rsidRPr="00614463">
        <w:rPr>
          <w:sz w:val="24"/>
          <w:szCs w:val="24"/>
        </w:rPr>
        <w:t xml:space="preserve">What constraints arise when </w:t>
      </w:r>
      <w:r w:rsidR="003A6D1F" w:rsidRPr="00614463">
        <w:rPr>
          <w:sz w:val="24"/>
          <w:szCs w:val="24"/>
        </w:rPr>
        <w:t xml:space="preserve">natural </w:t>
      </w:r>
      <w:r w:rsidRPr="00614463">
        <w:rPr>
          <w:sz w:val="24"/>
          <w:szCs w:val="24"/>
        </w:rPr>
        <w:t xml:space="preserve">gas </w:t>
      </w:r>
      <w:r w:rsidR="003A6D1F" w:rsidRPr="00614463">
        <w:rPr>
          <w:sz w:val="24"/>
          <w:szCs w:val="24"/>
        </w:rPr>
        <w:t xml:space="preserve">fired </w:t>
      </w:r>
      <w:r w:rsidRPr="00614463">
        <w:rPr>
          <w:sz w:val="24"/>
          <w:szCs w:val="24"/>
        </w:rPr>
        <w:t>generation</w:t>
      </w:r>
      <w:r w:rsidR="003A6D1F" w:rsidRPr="00614463">
        <w:rPr>
          <w:sz w:val="24"/>
          <w:szCs w:val="24"/>
        </w:rPr>
        <w:t xml:space="preserve"> becomes regionally limited</w:t>
      </w:r>
      <w:r w:rsidRPr="00614463">
        <w:rPr>
          <w:sz w:val="24"/>
          <w:szCs w:val="24"/>
        </w:rPr>
        <w:t xml:space="preserve"> during winter conditions?</w:t>
      </w:r>
    </w:p>
    <w:p w14:paraId="6DD4A1F0" w14:textId="77777777" w:rsidR="0069715D" w:rsidRDefault="0069715D" w:rsidP="00180A98">
      <w:pPr>
        <w:spacing w:after="0"/>
        <w:rPr>
          <w:sz w:val="24"/>
          <w:szCs w:val="24"/>
        </w:rPr>
      </w:pPr>
    </w:p>
    <w:p w14:paraId="1155767E" w14:textId="77777777" w:rsidR="0069715D" w:rsidRDefault="00180A98" w:rsidP="00180A98">
      <w:pPr>
        <w:spacing w:after="0"/>
        <w:rPr>
          <w:sz w:val="24"/>
          <w:szCs w:val="24"/>
        </w:rPr>
      </w:pPr>
      <w:r w:rsidRPr="0069715D">
        <w:rPr>
          <w:sz w:val="24"/>
          <w:szCs w:val="24"/>
          <w:u w:val="single"/>
        </w:rPr>
        <w:t>Modeling Parameters</w:t>
      </w:r>
      <w:r w:rsidRPr="00180A98">
        <w:rPr>
          <w:sz w:val="24"/>
          <w:szCs w:val="24"/>
        </w:rPr>
        <w:t xml:space="preserve"> </w:t>
      </w:r>
    </w:p>
    <w:p w14:paraId="16AF6E75" w14:textId="77777777" w:rsidR="0069715D" w:rsidRDefault="0069715D" w:rsidP="00180A98">
      <w:pPr>
        <w:spacing w:after="0"/>
        <w:rPr>
          <w:sz w:val="24"/>
          <w:szCs w:val="24"/>
        </w:rPr>
      </w:pPr>
    </w:p>
    <w:p w14:paraId="632D3832" w14:textId="77777777" w:rsidR="00614463" w:rsidRDefault="00614463" w:rsidP="00614463">
      <w:pPr>
        <w:pStyle w:val="ListParagraph"/>
        <w:numPr>
          <w:ilvl w:val="0"/>
          <w:numId w:val="1"/>
        </w:numPr>
        <w:spacing w:after="0"/>
        <w:rPr>
          <w:sz w:val="24"/>
          <w:szCs w:val="24"/>
        </w:rPr>
      </w:pPr>
      <w:r>
        <w:rPr>
          <w:sz w:val="24"/>
          <w:szCs w:val="24"/>
        </w:rPr>
        <w:t xml:space="preserve">Starting point is the </w:t>
      </w:r>
      <w:r w:rsidRPr="0069715D">
        <w:rPr>
          <w:sz w:val="24"/>
          <w:szCs w:val="24"/>
        </w:rPr>
        <w:t>20</w:t>
      </w:r>
      <w:r>
        <w:rPr>
          <w:sz w:val="24"/>
          <w:szCs w:val="24"/>
        </w:rPr>
        <w:t>25</w:t>
      </w:r>
      <w:r w:rsidRPr="0069715D">
        <w:rPr>
          <w:sz w:val="24"/>
          <w:szCs w:val="24"/>
        </w:rPr>
        <w:t xml:space="preserve"> roll-up winter peak steady state load-flow model</w:t>
      </w:r>
      <w:r>
        <w:rPr>
          <w:sz w:val="24"/>
          <w:szCs w:val="24"/>
        </w:rPr>
        <w:t>.</w:t>
      </w:r>
    </w:p>
    <w:p w14:paraId="58D1D11F" w14:textId="77777777" w:rsidR="00614463" w:rsidRPr="00274406" w:rsidRDefault="00614463" w:rsidP="00614463">
      <w:pPr>
        <w:pStyle w:val="ListParagraph"/>
        <w:numPr>
          <w:ilvl w:val="0"/>
          <w:numId w:val="1"/>
        </w:numPr>
        <w:spacing w:after="0"/>
        <w:rPr>
          <w:sz w:val="24"/>
          <w:szCs w:val="24"/>
        </w:rPr>
      </w:pPr>
      <w:r>
        <w:rPr>
          <w:sz w:val="24"/>
          <w:szCs w:val="24"/>
        </w:rPr>
        <w:lastRenderedPageBreak/>
        <w:t>Up to 5000MW of natural gas fired generation that is on-line in the 2025 base case will be removed from service and transfers into the region will be simulated.</w:t>
      </w:r>
      <w:r w:rsidRPr="00274406">
        <w:rPr>
          <w:sz w:val="24"/>
          <w:szCs w:val="24"/>
        </w:rPr>
        <w:t xml:space="preserve"> </w:t>
      </w:r>
    </w:p>
    <w:p w14:paraId="04506EE1" w14:textId="77777777" w:rsidR="00614463" w:rsidRDefault="00614463" w:rsidP="00614463">
      <w:pPr>
        <w:pStyle w:val="ListParagraph"/>
        <w:numPr>
          <w:ilvl w:val="0"/>
          <w:numId w:val="1"/>
        </w:numPr>
        <w:spacing w:after="0"/>
        <w:rPr>
          <w:sz w:val="24"/>
          <w:szCs w:val="24"/>
        </w:rPr>
      </w:pPr>
      <w:r w:rsidRPr="00274406">
        <w:rPr>
          <w:sz w:val="24"/>
          <w:szCs w:val="24"/>
        </w:rPr>
        <w:t>Regional gas limitations will be simulated in the following areas of the Eastern Interconnection: northeast (</w:t>
      </w:r>
      <w:r>
        <w:rPr>
          <w:sz w:val="24"/>
          <w:szCs w:val="24"/>
        </w:rPr>
        <w:t>Zone C</w:t>
      </w:r>
      <w:r w:rsidRPr="00274406">
        <w:rPr>
          <w:sz w:val="24"/>
          <w:szCs w:val="24"/>
        </w:rPr>
        <w:t>), central (</w:t>
      </w:r>
      <w:r>
        <w:rPr>
          <w:sz w:val="24"/>
          <w:szCs w:val="24"/>
        </w:rPr>
        <w:t>Zone D)</w:t>
      </w:r>
      <w:r w:rsidRPr="00274406">
        <w:rPr>
          <w:sz w:val="24"/>
          <w:szCs w:val="24"/>
        </w:rPr>
        <w:t>, southeast (</w:t>
      </w:r>
      <w:r>
        <w:rPr>
          <w:sz w:val="24"/>
          <w:szCs w:val="24"/>
        </w:rPr>
        <w:t>Zone A and E</w:t>
      </w:r>
      <w:r w:rsidRPr="00274406">
        <w:rPr>
          <w:sz w:val="24"/>
          <w:szCs w:val="24"/>
        </w:rPr>
        <w:t xml:space="preserve">), </w:t>
      </w:r>
      <w:proofErr w:type="spellStart"/>
      <w:proofErr w:type="gramStart"/>
      <w:r w:rsidRPr="00274406">
        <w:rPr>
          <w:sz w:val="24"/>
          <w:szCs w:val="24"/>
        </w:rPr>
        <w:t>midwest</w:t>
      </w:r>
      <w:proofErr w:type="spellEnd"/>
      <w:proofErr w:type="gramEnd"/>
      <w:r w:rsidRPr="00274406">
        <w:rPr>
          <w:sz w:val="24"/>
          <w:szCs w:val="24"/>
        </w:rPr>
        <w:t xml:space="preserve"> (</w:t>
      </w:r>
      <w:r>
        <w:rPr>
          <w:sz w:val="24"/>
          <w:szCs w:val="24"/>
        </w:rPr>
        <w:t>Zone B</w:t>
      </w:r>
      <w:r w:rsidRPr="00274406">
        <w:rPr>
          <w:sz w:val="24"/>
          <w:szCs w:val="24"/>
        </w:rPr>
        <w:t>), southwest (</w:t>
      </w:r>
      <w:r>
        <w:rPr>
          <w:sz w:val="24"/>
          <w:szCs w:val="24"/>
        </w:rPr>
        <w:t>Zone F</w:t>
      </w:r>
      <w:r w:rsidRPr="00274406">
        <w:rPr>
          <w:sz w:val="24"/>
          <w:szCs w:val="24"/>
        </w:rPr>
        <w:t>).</w:t>
      </w:r>
    </w:p>
    <w:p w14:paraId="1CBA4E56" w14:textId="77777777" w:rsidR="00614463" w:rsidRDefault="00614463" w:rsidP="00614463">
      <w:pPr>
        <w:pStyle w:val="ListParagraph"/>
        <w:numPr>
          <w:ilvl w:val="0"/>
          <w:numId w:val="1"/>
        </w:numPr>
        <w:spacing w:after="0"/>
        <w:rPr>
          <w:sz w:val="24"/>
          <w:szCs w:val="24"/>
        </w:rPr>
      </w:pPr>
      <w:r w:rsidRPr="0069715D">
        <w:rPr>
          <w:sz w:val="24"/>
          <w:szCs w:val="24"/>
        </w:rPr>
        <w:t>Transfers will be based upon the PAs defined in Table 1 below (Participation in the area is based upon PAs that are parties to the EIPC)</w:t>
      </w:r>
      <w:r w:rsidRPr="00614463">
        <w:rPr>
          <w:sz w:val="24"/>
          <w:szCs w:val="24"/>
        </w:rPr>
        <w:t xml:space="preserve"> </w:t>
      </w:r>
      <w:r w:rsidRPr="000A1F34">
        <w:rPr>
          <w:sz w:val="24"/>
          <w:szCs w:val="24"/>
        </w:rPr>
        <w:t xml:space="preserve">and </w:t>
      </w:r>
      <w:r>
        <w:rPr>
          <w:sz w:val="24"/>
          <w:szCs w:val="24"/>
        </w:rPr>
        <w:t>originate in regions adjacent to the region where the natural gas limitations are assumed.</w:t>
      </w:r>
    </w:p>
    <w:p w14:paraId="325BED3E" w14:textId="77777777" w:rsidR="000A1F34" w:rsidRDefault="000A1F34" w:rsidP="000A1F34">
      <w:pPr>
        <w:spacing w:after="0"/>
        <w:rPr>
          <w:sz w:val="24"/>
          <w:szCs w:val="24"/>
        </w:rPr>
      </w:pPr>
    </w:p>
    <w:p w14:paraId="0BA93F9D" w14:textId="77777777" w:rsidR="000A1F34" w:rsidRPr="000A1F34" w:rsidRDefault="000A1F34" w:rsidP="000A1F34">
      <w:pPr>
        <w:spacing w:after="0"/>
        <w:jc w:val="center"/>
        <w:rPr>
          <w:sz w:val="24"/>
          <w:szCs w:val="24"/>
        </w:rPr>
      </w:pPr>
      <w:r>
        <w:rPr>
          <w:sz w:val="24"/>
          <w:szCs w:val="24"/>
        </w:rPr>
        <w:t>Table 1</w:t>
      </w:r>
    </w:p>
    <w:p w14:paraId="76FA2693" w14:textId="77777777" w:rsidR="0069715D" w:rsidRDefault="0069715D" w:rsidP="0069715D">
      <w:pPr>
        <w:spacing w:after="0"/>
        <w:rPr>
          <w:sz w:val="24"/>
          <w:szCs w:val="24"/>
        </w:rPr>
      </w:pPr>
    </w:p>
    <w:tbl>
      <w:tblPr>
        <w:tblStyle w:val="TableGrid"/>
        <w:tblW w:w="0" w:type="auto"/>
        <w:tblInd w:w="1480" w:type="dxa"/>
        <w:tblLook w:val="04A0" w:firstRow="1" w:lastRow="0" w:firstColumn="1" w:lastColumn="0" w:noHBand="0" w:noVBand="1"/>
      </w:tblPr>
      <w:tblGrid>
        <w:gridCol w:w="990"/>
        <w:gridCol w:w="1260"/>
        <w:gridCol w:w="1080"/>
        <w:gridCol w:w="1017"/>
        <w:gridCol w:w="1053"/>
        <w:gridCol w:w="990"/>
      </w:tblGrid>
      <w:tr w:rsidR="0069715D" w14:paraId="517FDC1F" w14:textId="77777777" w:rsidTr="000048D0">
        <w:tc>
          <w:tcPr>
            <w:tcW w:w="990" w:type="dxa"/>
            <w:shd w:val="clear" w:color="auto" w:fill="D9D9D9" w:themeFill="background1" w:themeFillShade="D9"/>
            <w:vAlign w:val="center"/>
          </w:tcPr>
          <w:p w14:paraId="75A6CC9C" w14:textId="77777777" w:rsidR="0069715D" w:rsidRDefault="000A1F34" w:rsidP="000A1F34">
            <w:pPr>
              <w:jc w:val="center"/>
              <w:rPr>
                <w:sz w:val="24"/>
                <w:szCs w:val="24"/>
              </w:rPr>
            </w:pPr>
            <w:r>
              <w:rPr>
                <w:sz w:val="24"/>
                <w:szCs w:val="24"/>
              </w:rPr>
              <w:t>A</w:t>
            </w:r>
          </w:p>
        </w:tc>
        <w:tc>
          <w:tcPr>
            <w:tcW w:w="1260" w:type="dxa"/>
            <w:shd w:val="clear" w:color="auto" w:fill="D9D9D9" w:themeFill="background1" w:themeFillShade="D9"/>
            <w:vAlign w:val="center"/>
          </w:tcPr>
          <w:p w14:paraId="1B047C94" w14:textId="77777777" w:rsidR="0069715D" w:rsidRDefault="000A1F34" w:rsidP="000A1F34">
            <w:pPr>
              <w:jc w:val="center"/>
              <w:rPr>
                <w:sz w:val="24"/>
                <w:szCs w:val="24"/>
              </w:rPr>
            </w:pPr>
            <w:r>
              <w:rPr>
                <w:sz w:val="24"/>
                <w:szCs w:val="24"/>
              </w:rPr>
              <w:t>B</w:t>
            </w:r>
          </w:p>
        </w:tc>
        <w:tc>
          <w:tcPr>
            <w:tcW w:w="1080" w:type="dxa"/>
            <w:shd w:val="clear" w:color="auto" w:fill="D9D9D9" w:themeFill="background1" w:themeFillShade="D9"/>
            <w:vAlign w:val="center"/>
          </w:tcPr>
          <w:p w14:paraId="162BEFA4" w14:textId="77777777" w:rsidR="0069715D" w:rsidRDefault="000A1F34" w:rsidP="000A1F34">
            <w:pPr>
              <w:jc w:val="center"/>
              <w:rPr>
                <w:sz w:val="24"/>
                <w:szCs w:val="24"/>
              </w:rPr>
            </w:pPr>
            <w:r>
              <w:rPr>
                <w:sz w:val="24"/>
                <w:szCs w:val="24"/>
              </w:rPr>
              <w:t>C</w:t>
            </w:r>
          </w:p>
        </w:tc>
        <w:tc>
          <w:tcPr>
            <w:tcW w:w="1017" w:type="dxa"/>
            <w:shd w:val="clear" w:color="auto" w:fill="D9D9D9" w:themeFill="background1" w:themeFillShade="D9"/>
            <w:vAlign w:val="center"/>
          </w:tcPr>
          <w:p w14:paraId="2E95310F" w14:textId="77777777" w:rsidR="0069715D" w:rsidRDefault="000A1F34" w:rsidP="000A1F34">
            <w:pPr>
              <w:jc w:val="center"/>
              <w:rPr>
                <w:sz w:val="24"/>
                <w:szCs w:val="24"/>
              </w:rPr>
            </w:pPr>
            <w:r>
              <w:rPr>
                <w:sz w:val="24"/>
                <w:szCs w:val="24"/>
              </w:rPr>
              <w:t>D</w:t>
            </w:r>
          </w:p>
        </w:tc>
        <w:tc>
          <w:tcPr>
            <w:tcW w:w="1053" w:type="dxa"/>
            <w:shd w:val="clear" w:color="auto" w:fill="D9D9D9" w:themeFill="background1" w:themeFillShade="D9"/>
            <w:vAlign w:val="center"/>
          </w:tcPr>
          <w:p w14:paraId="2C87D50E" w14:textId="77777777" w:rsidR="0069715D" w:rsidRDefault="000A1F34" w:rsidP="000A1F34">
            <w:pPr>
              <w:jc w:val="center"/>
              <w:rPr>
                <w:sz w:val="24"/>
                <w:szCs w:val="24"/>
              </w:rPr>
            </w:pPr>
            <w:r>
              <w:rPr>
                <w:sz w:val="24"/>
                <w:szCs w:val="24"/>
              </w:rPr>
              <w:t>E</w:t>
            </w:r>
          </w:p>
        </w:tc>
        <w:tc>
          <w:tcPr>
            <w:tcW w:w="990" w:type="dxa"/>
            <w:shd w:val="clear" w:color="auto" w:fill="D9D9D9" w:themeFill="background1" w:themeFillShade="D9"/>
            <w:vAlign w:val="center"/>
          </w:tcPr>
          <w:p w14:paraId="7205544C" w14:textId="77777777" w:rsidR="0069715D" w:rsidRDefault="000A1F34" w:rsidP="000A1F34">
            <w:pPr>
              <w:jc w:val="center"/>
              <w:rPr>
                <w:sz w:val="24"/>
                <w:szCs w:val="24"/>
              </w:rPr>
            </w:pPr>
            <w:r>
              <w:rPr>
                <w:sz w:val="24"/>
                <w:szCs w:val="24"/>
              </w:rPr>
              <w:t>F</w:t>
            </w:r>
          </w:p>
        </w:tc>
      </w:tr>
      <w:tr w:rsidR="0069715D" w14:paraId="7781A17C" w14:textId="77777777" w:rsidTr="000A1F34">
        <w:tc>
          <w:tcPr>
            <w:tcW w:w="990" w:type="dxa"/>
            <w:vAlign w:val="center"/>
          </w:tcPr>
          <w:p w14:paraId="312C7C7C" w14:textId="77777777" w:rsidR="0069715D" w:rsidRDefault="000A1F34" w:rsidP="000A1F34">
            <w:pPr>
              <w:jc w:val="center"/>
              <w:rPr>
                <w:sz w:val="24"/>
                <w:szCs w:val="24"/>
              </w:rPr>
            </w:pPr>
            <w:r>
              <w:rPr>
                <w:sz w:val="24"/>
                <w:szCs w:val="24"/>
              </w:rPr>
              <w:t>FPL</w:t>
            </w:r>
          </w:p>
        </w:tc>
        <w:tc>
          <w:tcPr>
            <w:tcW w:w="1260" w:type="dxa"/>
            <w:vAlign w:val="center"/>
          </w:tcPr>
          <w:p w14:paraId="12B0781E" w14:textId="77777777" w:rsidR="0069715D" w:rsidRDefault="000A1F34" w:rsidP="000A1F34">
            <w:pPr>
              <w:jc w:val="center"/>
              <w:rPr>
                <w:sz w:val="24"/>
                <w:szCs w:val="24"/>
              </w:rPr>
            </w:pPr>
            <w:r>
              <w:rPr>
                <w:sz w:val="24"/>
                <w:szCs w:val="24"/>
              </w:rPr>
              <w:t>MAPPCOR</w:t>
            </w:r>
          </w:p>
        </w:tc>
        <w:tc>
          <w:tcPr>
            <w:tcW w:w="1080" w:type="dxa"/>
            <w:vAlign w:val="center"/>
          </w:tcPr>
          <w:p w14:paraId="16FCCCED" w14:textId="77777777" w:rsidR="0069715D" w:rsidRDefault="000A1F34" w:rsidP="000A1F34">
            <w:pPr>
              <w:jc w:val="center"/>
              <w:rPr>
                <w:sz w:val="24"/>
                <w:szCs w:val="24"/>
              </w:rPr>
            </w:pPr>
            <w:r>
              <w:rPr>
                <w:sz w:val="24"/>
                <w:szCs w:val="24"/>
              </w:rPr>
              <w:t>ISONE</w:t>
            </w:r>
          </w:p>
        </w:tc>
        <w:tc>
          <w:tcPr>
            <w:tcW w:w="1017" w:type="dxa"/>
            <w:vAlign w:val="center"/>
          </w:tcPr>
          <w:p w14:paraId="7B4E5225" w14:textId="77777777" w:rsidR="0069715D" w:rsidRDefault="000A1F34" w:rsidP="000A1F34">
            <w:pPr>
              <w:jc w:val="center"/>
              <w:rPr>
                <w:sz w:val="24"/>
                <w:szCs w:val="24"/>
              </w:rPr>
            </w:pPr>
            <w:r>
              <w:rPr>
                <w:sz w:val="24"/>
                <w:szCs w:val="24"/>
              </w:rPr>
              <w:t>PJM</w:t>
            </w:r>
          </w:p>
        </w:tc>
        <w:tc>
          <w:tcPr>
            <w:tcW w:w="1053" w:type="dxa"/>
            <w:vAlign w:val="center"/>
          </w:tcPr>
          <w:p w14:paraId="06B26289" w14:textId="77777777" w:rsidR="0069715D" w:rsidRDefault="000A1F34" w:rsidP="000A1F34">
            <w:pPr>
              <w:jc w:val="center"/>
              <w:rPr>
                <w:sz w:val="24"/>
                <w:szCs w:val="24"/>
              </w:rPr>
            </w:pPr>
            <w:r>
              <w:rPr>
                <w:sz w:val="24"/>
                <w:szCs w:val="24"/>
              </w:rPr>
              <w:t>DEC</w:t>
            </w:r>
          </w:p>
        </w:tc>
        <w:tc>
          <w:tcPr>
            <w:tcW w:w="990" w:type="dxa"/>
            <w:vAlign w:val="center"/>
          </w:tcPr>
          <w:p w14:paraId="047AD673" w14:textId="77777777" w:rsidR="0069715D" w:rsidRDefault="000A1F34" w:rsidP="000A1F34">
            <w:pPr>
              <w:jc w:val="center"/>
              <w:rPr>
                <w:sz w:val="24"/>
                <w:szCs w:val="24"/>
              </w:rPr>
            </w:pPr>
            <w:r>
              <w:rPr>
                <w:sz w:val="24"/>
                <w:szCs w:val="24"/>
              </w:rPr>
              <w:t>SPP</w:t>
            </w:r>
          </w:p>
        </w:tc>
      </w:tr>
      <w:tr w:rsidR="0069715D" w14:paraId="7553A8B7" w14:textId="77777777" w:rsidTr="000A1F34">
        <w:tc>
          <w:tcPr>
            <w:tcW w:w="990" w:type="dxa"/>
            <w:vAlign w:val="center"/>
          </w:tcPr>
          <w:p w14:paraId="431D1C97" w14:textId="77777777" w:rsidR="0069715D" w:rsidRDefault="000A1F34" w:rsidP="000A1F34">
            <w:pPr>
              <w:jc w:val="center"/>
              <w:rPr>
                <w:sz w:val="24"/>
                <w:szCs w:val="24"/>
              </w:rPr>
            </w:pPr>
            <w:r>
              <w:rPr>
                <w:sz w:val="24"/>
                <w:szCs w:val="24"/>
              </w:rPr>
              <w:t>JEA</w:t>
            </w:r>
          </w:p>
        </w:tc>
        <w:tc>
          <w:tcPr>
            <w:tcW w:w="1260" w:type="dxa"/>
            <w:vAlign w:val="center"/>
          </w:tcPr>
          <w:p w14:paraId="4EDEA126" w14:textId="77777777" w:rsidR="0069715D" w:rsidRDefault="000A1F34" w:rsidP="000A1F34">
            <w:pPr>
              <w:jc w:val="center"/>
              <w:rPr>
                <w:sz w:val="24"/>
                <w:szCs w:val="24"/>
              </w:rPr>
            </w:pPr>
            <w:r>
              <w:rPr>
                <w:sz w:val="24"/>
                <w:szCs w:val="24"/>
              </w:rPr>
              <w:t>MISO</w:t>
            </w:r>
          </w:p>
        </w:tc>
        <w:tc>
          <w:tcPr>
            <w:tcW w:w="1080" w:type="dxa"/>
            <w:vAlign w:val="center"/>
          </w:tcPr>
          <w:p w14:paraId="4DD915E8" w14:textId="77777777" w:rsidR="0069715D" w:rsidRDefault="000A1F34" w:rsidP="000A1F34">
            <w:pPr>
              <w:jc w:val="center"/>
              <w:rPr>
                <w:sz w:val="24"/>
                <w:szCs w:val="24"/>
              </w:rPr>
            </w:pPr>
            <w:r>
              <w:rPr>
                <w:sz w:val="24"/>
                <w:szCs w:val="24"/>
              </w:rPr>
              <w:t>NYISO</w:t>
            </w:r>
          </w:p>
        </w:tc>
        <w:tc>
          <w:tcPr>
            <w:tcW w:w="1017" w:type="dxa"/>
            <w:vAlign w:val="center"/>
          </w:tcPr>
          <w:p w14:paraId="1C2A3CBA" w14:textId="77777777" w:rsidR="0069715D" w:rsidRDefault="0069715D" w:rsidP="000A1F34">
            <w:pPr>
              <w:jc w:val="center"/>
              <w:rPr>
                <w:sz w:val="24"/>
                <w:szCs w:val="24"/>
              </w:rPr>
            </w:pPr>
          </w:p>
        </w:tc>
        <w:tc>
          <w:tcPr>
            <w:tcW w:w="1053" w:type="dxa"/>
            <w:vAlign w:val="center"/>
          </w:tcPr>
          <w:p w14:paraId="1B685E13" w14:textId="77777777" w:rsidR="0069715D" w:rsidRDefault="000A1F34" w:rsidP="000A1F34">
            <w:pPr>
              <w:jc w:val="center"/>
              <w:rPr>
                <w:sz w:val="24"/>
                <w:szCs w:val="24"/>
              </w:rPr>
            </w:pPr>
            <w:r>
              <w:rPr>
                <w:sz w:val="24"/>
                <w:szCs w:val="24"/>
              </w:rPr>
              <w:t>DEP</w:t>
            </w:r>
          </w:p>
        </w:tc>
        <w:tc>
          <w:tcPr>
            <w:tcW w:w="990" w:type="dxa"/>
            <w:vAlign w:val="center"/>
          </w:tcPr>
          <w:p w14:paraId="0DEDC2B7" w14:textId="77777777" w:rsidR="0069715D" w:rsidRDefault="0069715D" w:rsidP="000A1F34">
            <w:pPr>
              <w:jc w:val="center"/>
              <w:rPr>
                <w:sz w:val="24"/>
                <w:szCs w:val="24"/>
              </w:rPr>
            </w:pPr>
          </w:p>
        </w:tc>
      </w:tr>
      <w:tr w:rsidR="0069715D" w14:paraId="0944BE57" w14:textId="77777777" w:rsidTr="000A1F34">
        <w:tc>
          <w:tcPr>
            <w:tcW w:w="990" w:type="dxa"/>
            <w:vAlign w:val="center"/>
          </w:tcPr>
          <w:p w14:paraId="257C6433" w14:textId="77777777" w:rsidR="0069715D" w:rsidRDefault="000A1F34" w:rsidP="000A1F34">
            <w:pPr>
              <w:jc w:val="center"/>
              <w:rPr>
                <w:sz w:val="24"/>
                <w:szCs w:val="24"/>
              </w:rPr>
            </w:pPr>
            <w:r>
              <w:rPr>
                <w:sz w:val="24"/>
                <w:szCs w:val="24"/>
              </w:rPr>
              <w:t>DEF</w:t>
            </w:r>
          </w:p>
        </w:tc>
        <w:tc>
          <w:tcPr>
            <w:tcW w:w="1260" w:type="dxa"/>
            <w:vAlign w:val="center"/>
          </w:tcPr>
          <w:p w14:paraId="301CCBC6" w14:textId="77777777" w:rsidR="0069715D" w:rsidRDefault="000A1F34" w:rsidP="000A1F34">
            <w:pPr>
              <w:jc w:val="center"/>
              <w:rPr>
                <w:sz w:val="24"/>
                <w:szCs w:val="24"/>
              </w:rPr>
            </w:pPr>
            <w:r>
              <w:rPr>
                <w:sz w:val="24"/>
                <w:szCs w:val="24"/>
              </w:rPr>
              <w:t>ATC</w:t>
            </w:r>
          </w:p>
        </w:tc>
        <w:tc>
          <w:tcPr>
            <w:tcW w:w="1080" w:type="dxa"/>
            <w:vAlign w:val="center"/>
          </w:tcPr>
          <w:p w14:paraId="5BC23D33" w14:textId="77777777" w:rsidR="0069715D" w:rsidRDefault="000A1F34" w:rsidP="000A1F34">
            <w:pPr>
              <w:jc w:val="center"/>
              <w:rPr>
                <w:sz w:val="24"/>
                <w:szCs w:val="24"/>
              </w:rPr>
            </w:pPr>
            <w:r>
              <w:rPr>
                <w:sz w:val="24"/>
                <w:szCs w:val="24"/>
              </w:rPr>
              <w:t>IESO</w:t>
            </w:r>
          </w:p>
        </w:tc>
        <w:tc>
          <w:tcPr>
            <w:tcW w:w="1017" w:type="dxa"/>
            <w:vAlign w:val="center"/>
          </w:tcPr>
          <w:p w14:paraId="45B2B84D" w14:textId="77777777" w:rsidR="0069715D" w:rsidRDefault="0069715D" w:rsidP="000A1F34">
            <w:pPr>
              <w:jc w:val="center"/>
              <w:rPr>
                <w:sz w:val="24"/>
                <w:szCs w:val="24"/>
              </w:rPr>
            </w:pPr>
          </w:p>
        </w:tc>
        <w:tc>
          <w:tcPr>
            <w:tcW w:w="1053" w:type="dxa"/>
            <w:vAlign w:val="center"/>
          </w:tcPr>
          <w:p w14:paraId="74553597" w14:textId="77777777" w:rsidR="0069715D" w:rsidRDefault="000A1F34" w:rsidP="000A1F34">
            <w:pPr>
              <w:jc w:val="center"/>
              <w:rPr>
                <w:sz w:val="24"/>
                <w:szCs w:val="24"/>
              </w:rPr>
            </w:pPr>
            <w:r>
              <w:rPr>
                <w:sz w:val="24"/>
                <w:szCs w:val="24"/>
              </w:rPr>
              <w:t>LGE/KU</w:t>
            </w:r>
          </w:p>
        </w:tc>
        <w:tc>
          <w:tcPr>
            <w:tcW w:w="990" w:type="dxa"/>
            <w:vAlign w:val="center"/>
          </w:tcPr>
          <w:p w14:paraId="03F5D6F9" w14:textId="77777777" w:rsidR="0069715D" w:rsidRDefault="0069715D" w:rsidP="000A1F34">
            <w:pPr>
              <w:jc w:val="center"/>
              <w:rPr>
                <w:sz w:val="24"/>
                <w:szCs w:val="24"/>
              </w:rPr>
            </w:pPr>
          </w:p>
        </w:tc>
      </w:tr>
      <w:tr w:rsidR="0069715D" w14:paraId="7FFC6AB3" w14:textId="77777777" w:rsidTr="000A1F34">
        <w:tc>
          <w:tcPr>
            <w:tcW w:w="990" w:type="dxa"/>
            <w:vAlign w:val="center"/>
          </w:tcPr>
          <w:p w14:paraId="2D46C5B5" w14:textId="77777777" w:rsidR="0069715D" w:rsidRDefault="0069715D" w:rsidP="000A1F34">
            <w:pPr>
              <w:jc w:val="center"/>
              <w:rPr>
                <w:sz w:val="24"/>
                <w:szCs w:val="24"/>
              </w:rPr>
            </w:pPr>
          </w:p>
        </w:tc>
        <w:tc>
          <w:tcPr>
            <w:tcW w:w="1260" w:type="dxa"/>
            <w:vAlign w:val="center"/>
          </w:tcPr>
          <w:p w14:paraId="0F1B69C7" w14:textId="77777777" w:rsidR="0069715D" w:rsidRDefault="0069715D" w:rsidP="000A1F34">
            <w:pPr>
              <w:jc w:val="center"/>
              <w:rPr>
                <w:sz w:val="24"/>
                <w:szCs w:val="24"/>
              </w:rPr>
            </w:pPr>
          </w:p>
        </w:tc>
        <w:tc>
          <w:tcPr>
            <w:tcW w:w="1080" w:type="dxa"/>
            <w:vAlign w:val="center"/>
          </w:tcPr>
          <w:p w14:paraId="29B5B389" w14:textId="77777777" w:rsidR="0069715D" w:rsidRDefault="000A1F34" w:rsidP="000A1F34">
            <w:pPr>
              <w:jc w:val="center"/>
              <w:rPr>
                <w:sz w:val="24"/>
                <w:szCs w:val="24"/>
              </w:rPr>
            </w:pPr>
            <w:r>
              <w:rPr>
                <w:sz w:val="24"/>
                <w:szCs w:val="24"/>
              </w:rPr>
              <w:t>NB</w:t>
            </w:r>
          </w:p>
        </w:tc>
        <w:tc>
          <w:tcPr>
            <w:tcW w:w="1017" w:type="dxa"/>
            <w:vAlign w:val="center"/>
          </w:tcPr>
          <w:p w14:paraId="3AB56A1C" w14:textId="77777777" w:rsidR="0069715D" w:rsidRDefault="0069715D" w:rsidP="000A1F34">
            <w:pPr>
              <w:jc w:val="center"/>
              <w:rPr>
                <w:sz w:val="24"/>
                <w:szCs w:val="24"/>
              </w:rPr>
            </w:pPr>
          </w:p>
        </w:tc>
        <w:tc>
          <w:tcPr>
            <w:tcW w:w="1053" w:type="dxa"/>
            <w:vAlign w:val="center"/>
          </w:tcPr>
          <w:p w14:paraId="5CB477C1" w14:textId="77777777" w:rsidR="0069715D" w:rsidRDefault="000A1F34" w:rsidP="000A1F34">
            <w:pPr>
              <w:jc w:val="center"/>
              <w:rPr>
                <w:sz w:val="24"/>
                <w:szCs w:val="24"/>
              </w:rPr>
            </w:pPr>
            <w:r>
              <w:rPr>
                <w:sz w:val="24"/>
                <w:szCs w:val="24"/>
              </w:rPr>
              <w:t>GTC</w:t>
            </w:r>
          </w:p>
        </w:tc>
        <w:tc>
          <w:tcPr>
            <w:tcW w:w="990" w:type="dxa"/>
            <w:vAlign w:val="center"/>
          </w:tcPr>
          <w:p w14:paraId="1263212D" w14:textId="77777777" w:rsidR="0069715D" w:rsidRDefault="0069715D" w:rsidP="000A1F34">
            <w:pPr>
              <w:jc w:val="center"/>
              <w:rPr>
                <w:sz w:val="24"/>
                <w:szCs w:val="24"/>
              </w:rPr>
            </w:pPr>
          </w:p>
        </w:tc>
      </w:tr>
      <w:tr w:rsidR="0069715D" w14:paraId="1C607DDA" w14:textId="77777777" w:rsidTr="000A1F34">
        <w:tc>
          <w:tcPr>
            <w:tcW w:w="990" w:type="dxa"/>
            <w:vAlign w:val="center"/>
          </w:tcPr>
          <w:p w14:paraId="11964D71" w14:textId="77777777" w:rsidR="0069715D" w:rsidRDefault="0069715D" w:rsidP="000A1F34">
            <w:pPr>
              <w:jc w:val="center"/>
              <w:rPr>
                <w:sz w:val="24"/>
                <w:szCs w:val="24"/>
              </w:rPr>
            </w:pPr>
          </w:p>
        </w:tc>
        <w:tc>
          <w:tcPr>
            <w:tcW w:w="1260" w:type="dxa"/>
            <w:vAlign w:val="center"/>
          </w:tcPr>
          <w:p w14:paraId="4E2597A1" w14:textId="77777777" w:rsidR="0069715D" w:rsidRDefault="0069715D" w:rsidP="000A1F34">
            <w:pPr>
              <w:jc w:val="center"/>
              <w:rPr>
                <w:sz w:val="24"/>
                <w:szCs w:val="24"/>
              </w:rPr>
            </w:pPr>
          </w:p>
        </w:tc>
        <w:tc>
          <w:tcPr>
            <w:tcW w:w="1080" w:type="dxa"/>
            <w:vAlign w:val="center"/>
          </w:tcPr>
          <w:p w14:paraId="1336E271" w14:textId="77777777" w:rsidR="0069715D" w:rsidRDefault="0069715D" w:rsidP="000A1F34">
            <w:pPr>
              <w:jc w:val="center"/>
              <w:rPr>
                <w:sz w:val="24"/>
                <w:szCs w:val="24"/>
              </w:rPr>
            </w:pPr>
          </w:p>
        </w:tc>
        <w:tc>
          <w:tcPr>
            <w:tcW w:w="1017" w:type="dxa"/>
            <w:vAlign w:val="center"/>
          </w:tcPr>
          <w:p w14:paraId="3B99D28E" w14:textId="77777777" w:rsidR="0069715D" w:rsidRDefault="0069715D" w:rsidP="000A1F34">
            <w:pPr>
              <w:jc w:val="center"/>
              <w:rPr>
                <w:sz w:val="24"/>
                <w:szCs w:val="24"/>
              </w:rPr>
            </w:pPr>
          </w:p>
        </w:tc>
        <w:tc>
          <w:tcPr>
            <w:tcW w:w="1053" w:type="dxa"/>
            <w:vAlign w:val="center"/>
          </w:tcPr>
          <w:p w14:paraId="172F72B2" w14:textId="77777777" w:rsidR="0069715D" w:rsidRDefault="000A1F34" w:rsidP="000A1F34">
            <w:pPr>
              <w:jc w:val="center"/>
              <w:rPr>
                <w:sz w:val="24"/>
                <w:szCs w:val="24"/>
              </w:rPr>
            </w:pPr>
            <w:r>
              <w:rPr>
                <w:sz w:val="24"/>
                <w:szCs w:val="24"/>
              </w:rPr>
              <w:t>PS</w:t>
            </w:r>
          </w:p>
        </w:tc>
        <w:tc>
          <w:tcPr>
            <w:tcW w:w="990" w:type="dxa"/>
            <w:vAlign w:val="center"/>
          </w:tcPr>
          <w:p w14:paraId="124FD9BA" w14:textId="77777777" w:rsidR="0069715D" w:rsidRDefault="0069715D" w:rsidP="000A1F34">
            <w:pPr>
              <w:jc w:val="center"/>
              <w:rPr>
                <w:sz w:val="24"/>
                <w:szCs w:val="24"/>
              </w:rPr>
            </w:pPr>
          </w:p>
        </w:tc>
      </w:tr>
      <w:tr w:rsidR="0069715D" w14:paraId="1ADB445D" w14:textId="77777777" w:rsidTr="000A1F34">
        <w:tc>
          <w:tcPr>
            <w:tcW w:w="990" w:type="dxa"/>
            <w:vAlign w:val="center"/>
          </w:tcPr>
          <w:p w14:paraId="3CC8E066" w14:textId="77777777" w:rsidR="0069715D" w:rsidRDefault="0069715D" w:rsidP="000A1F34">
            <w:pPr>
              <w:jc w:val="center"/>
              <w:rPr>
                <w:sz w:val="24"/>
                <w:szCs w:val="24"/>
              </w:rPr>
            </w:pPr>
          </w:p>
        </w:tc>
        <w:tc>
          <w:tcPr>
            <w:tcW w:w="1260" w:type="dxa"/>
            <w:vAlign w:val="center"/>
          </w:tcPr>
          <w:p w14:paraId="0155787C" w14:textId="77777777" w:rsidR="0069715D" w:rsidRDefault="0069715D" w:rsidP="000A1F34">
            <w:pPr>
              <w:jc w:val="center"/>
              <w:rPr>
                <w:sz w:val="24"/>
                <w:szCs w:val="24"/>
              </w:rPr>
            </w:pPr>
          </w:p>
        </w:tc>
        <w:tc>
          <w:tcPr>
            <w:tcW w:w="1080" w:type="dxa"/>
            <w:vAlign w:val="center"/>
          </w:tcPr>
          <w:p w14:paraId="46FBCED7" w14:textId="77777777" w:rsidR="0069715D" w:rsidRDefault="0069715D" w:rsidP="000A1F34">
            <w:pPr>
              <w:jc w:val="center"/>
              <w:rPr>
                <w:sz w:val="24"/>
                <w:szCs w:val="24"/>
              </w:rPr>
            </w:pPr>
          </w:p>
        </w:tc>
        <w:tc>
          <w:tcPr>
            <w:tcW w:w="1017" w:type="dxa"/>
            <w:vAlign w:val="center"/>
          </w:tcPr>
          <w:p w14:paraId="453AE4E0" w14:textId="77777777" w:rsidR="0069715D" w:rsidRDefault="0069715D" w:rsidP="000A1F34">
            <w:pPr>
              <w:jc w:val="center"/>
              <w:rPr>
                <w:sz w:val="24"/>
                <w:szCs w:val="24"/>
              </w:rPr>
            </w:pPr>
          </w:p>
        </w:tc>
        <w:tc>
          <w:tcPr>
            <w:tcW w:w="1053" w:type="dxa"/>
            <w:vAlign w:val="center"/>
          </w:tcPr>
          <w:p w14:paraId="7F6B3159" w14:textId="77777777" w:rsidR="0069715D" w:rsidRDefault="000A1F34" w:rsidP="000A1F34">
            <w:pPr>
              <w:jc w:val="center"/>
              <w:rPr>
                <w:sz w:val="24"/>
                <w:szCs w:val="24"/>
              </w:rPr>
            </w:pPr>
            <w:r>
              <w:rPr>
                <w:sz w:val="24"/>
                <w:szCs w:val="24"/>
              </w:rPr>
              <w:t>SCEG</w:t>
            </w:r>
          </w:p>
        </w:tc>
        <w:tc>
          <w:tcPr>
            <w:tcW w:w="990" w:type="dxa"/>
            <w:vAlign w:val="center"/>
          </w:tcPr>
          <w:p w14:paraId="4E512A94" w14:textId="77777777" w:rsidR="0069715D" w:rsidRDefault="0069715D" w:rsidP="000A1F34">
            <w:pPr>
              <w:jc w:val="center"/>
              <w:rPr>
                <w:sz w:val="24"/>
                <w:szCs w:val="24"/>
              </w:rPr>
            </w:pPr>
          </w:p>
        </w:tc>
      </w:tr>
      <w:tr w:rsidR="0069715D" w14:paraId="53DACEF7" w14:textId="77777777" w:rsidTr="000A1F34">
        <w:tc>
          <w:tcPr>
            <w:tcW w:w="990" w:type="dxa"/>
            <w:vAlign w:val="center"/>
          </w:tcPr>
          <w:p w14:paraId="68DA5A08" w14:textId="77777777" w:rsidR="0069715D" w:rsidRDefault="0069715D" w:rsidP="000A1F34">
            <w:pPr>
              <w:jc w:val="center"/>
              <w:rPr>
                <w:sz w:val="24"/>
                <w:szCs w:val="24"/>
              </w:rPr>
            </w:pPr>
          </w:p>
        </w:tc>
        <w:tc>
          <w:tcPr>
            <w:tcW w:w="1260" w:type="dxa"/>
            <w:vAlign w:val="center"/>
          </w:tcPr>
          <w:p w14:paraId="1BBCD23B" w14:textId="77777777" w:rsidR="0069715D" w:rsidRDefault="0069715D" w:rsidP="000A1F34">
            <w:pPr>
              <w:jc w:val="center"/>
              <w:rPr>
                <w:sz w:val="24"/>
                <w:szCs w:val="24"/>
              </w:rPr>
            </w:pPr>
          </w:p>
        </w:tc>
        <w:tc>
          <w:tcPr>
            <w:tcW w:w="1080" w:type="dxa"/>
            <w:vAlign w:val="center"/>
          </w:tcPr>
          <w:p w14:paraId="35D9D56F" w14:textId="77777777" w:rsidR="0069715D" w:rsidRDefault="0069715D" w:rsidP="000A1F34">
            <w:pPr>
              <w:jc w:val="center"/>
              <w:rPr>
                <w:sz w:val="24"/>
                <w:szCs w:val="24"/>
              </w:rPr>
            </w:pPr>
          </w:p>
        </w:tc>
        <w:tc>
          <w:tcPr>
            <w:tcW w:w="1017" w:type="dxa"/>
            <w:vAlign w:val="center"/>
          </w:tcPr>
          <w:p w14:paraId="00DDDF6A" w14:textId="77777777" w:rsidR="0069715D" w:rsidRDefault="0069715D" w:rsidP="000A1F34">
            <w:pPr>
              <w:jc w:val="center"/>
              <w:rPr>
                <w:sz w:val="24"/>
                <w:szCs w:val="24"/>
              </w:rPr>
            </w:pPr>
          </w:p>
        </w:tc>
        <w:tc>
          <w:tcPr>
            <w:tcW w:w="1053" w:type="dxa"/>
            <w:vAlign w:val="center"/>
          </w:tcPr>
          <w:p w14:paraId="5AD0A20C" w14:textId="77777777" w:rsidR="0069715D" w:rsidRDefault="000A1F34" w:rsidP="000A1F34">
            <w:pPr>
              <w:jc w:val="center"/>
              <w:rPr>
                <w:sz w:val="24"/>
                <w:szCs w:val="24"/>
              </w:rPr>
            </w:pPr>
            <w:r>
              <w:rPr>
                <w:sz w:val="24"/>
                <w:szCs w:val="24"/>
              </w:rPr>
              <w:t>SC</w:t>
            </w:r>
          </w:p>
        </w:tc>
        <w:tc>
          <w:tcPr>
            <w:tcW w:w="990" w:type="dxa"/>
            <w:vAlign w:val="center"/>
          </w:tcPr>
          <w:p w14:paraId="10E59D93" w14:textId="77777777" w:rsidR="0069715D" w:rsidRDefault="0069715D" w:rsidP="000A1F34">
            <w:pPr>
              <w:jc w:val="center"/>
              <w:rPr>
                <w:sz w:val="24"/>
                <w:szCs w:val="24"/>
              </w:rPr>
            </w:pPr>
          </w:p>
        </w:tc>
      </w:tr>
      <w:tr w:rsidR="000A1F34" w14:paraId="1BEA663A" w14:textId="77777777" w:rsidTr="000A1F34">
        <w:tc>
          <w:tcPr>
            <w:tcW w:w="990" w:type="dxa"/>
            <w:vAlign w:val="center"/>
          </w:tcPr>
          <w:p w14:paraId="0C42CD46" w14:textId="77777777" w:rsidR="000A1F34" w:rsidRDefault="000A1F34" w:rsidP="000A1F34">
            <w:pPr>
              <w:jc w:val="center"/>
              <w:rPr>
                <w:sz w:val="24"/>
                <w:szCs w:val="24"/>
              </w:rPr>
            </w:pPr>
          </w:p>
        </w:tc>
        <w:tc>
          <w:tcPr>
            <w:tcW w:w="1260" w:type="dxa"/>
            <w:vAlign w:val="center"/>
          </w:tcPr>
          <w:p w14:paraId="79C9AD59" w14:textId="77777777" w:rsidR="000A1F34" w:rsidRDefault="000A1F34" w:rsidP="000A1F34">
            <w:pPr>
              <w:jc w:val="center"/>
              <w:rPr>
                <w:sz w:val="24"/>
                <w:szCs w:val="24"/>
              </w:rPr>
            </w:pPr>
          </w:p>
        </w:tc>
        <w:tc>
          <w:tcPr>
            <w:tcW w:w="1080" w:type="dxa"/>
            <w:vAlign w:val="center"/>
          </w:tcPr>
          <w:p w14:paraId="490C3501" w14:textId="77777777" w:rsidR="000A1F34" w:rsidRDefault="000A1F34" w:rsidP="000A1F34">
            <w:pPr>
              <w:jc w:val="center"/>
              <w:rPr>
                <w:sz w:val="24"/>
                <w:szCs w:val="24"/>
              </w:rPr>
            </w:pPr>
          </w:p>
        </w:tc>
        <w:tc>
          <w:tcPr>
            <w:tcW w:w="1017" w:type="dxa"/>
            <w:vAlign w:val="center"/>
          </w:tcPr>
          <w:p w14:paraId="745A42FF" w14:textId="77777777" w:rsidR="000A1F34" w:rsidRDefault="000A1F34" w:rsidP="000A1F34">
            <w:pPr>
              <w:jc w:val="center"/>
              <w:rPr>
                <w:sz w:val="24"/>
                <w:szCs w:val="24"/>
              </w:rPr>
            </w:pPr>
          </w:p>
        </w:tc>
        <w:tc>
          <w:tcPr>
            <w:tcW w:w="1053" w:type="dxa"/>
            <w:vAlign w:val="center"/>
          </w:tcPr>
          <w:p w14:paraId="45C93675" w14:textId="77777777" w:rsidR="000A1F34" w:rsidRDefault="000A1F34" w:rsidP="000A1F34">
            <w:pPr>
              <w:jc w:val="center"/>
              <w:rPr>
                <w:sz w:val="24"/>
                <w:szCs w:val="24"/>
              </w:rPr>
            </w:pPr>
            <w:r>
              <w:rPr>
                <w:sz w:val="24"/>
                <w:szCs w:val="24"/>
              </w:rPr>
              <w:t>SOCO</w:t>
            </w:r>
          </w:p>
        </w:tc>
        <w:tc>
          <w:tcPr>
            <w:tcW w:w="990" w:type="dxa"/>
            <w:vAlign w:val="center"/>
          </w:tcPr>
          <w:p w14:paraId="533B103A" w14:textId="77777777" w:rsidR="000A1F34" w:rsidRDefault="000A1F34" w:rsidP="000A1F34">
            <w:pPr>
              <w:jc w:val="center"/>
              <w:rPr>
                <w:sz w:val="24"/>
                <w:szCs w:val="24"/>
              </w:rPr>
            </w:pPr>
          </w:p>
        </w:tc>
      </w:tr>
      <w:tr w:rsidR="000A1F34" w14:paraId="01F688E9" w14:textId="77777777" w:rsidTr="000A1F34">
        <w:tc>
          <w:tcPr>
            <w:tcW w:w="990" w:type="dxa"/>
            <w:vAlign w:val="center"/>
          </w:tcPr>
          <w:p w14:paraId="0A607ACB" w14:textId="77777777" w:rsidR="000A1F34" w:rsidRDefault="000A1F34" w:rsidP="000A1F34">
            <w:pPr>
              <w:jc w:val="center"/>
              <w:rPr>
                <w:sz w:val="24"/>
                <w:szCs w:val="24"/>
              </w:rPr>
            </w:pPr>
          </w:p>
        </w:tc>
        <w:tc>
          <w:tcPr>
            <w:tcW w:w="1260" w:type="dxa"/>
            <w:vAlign w:val="center"/>
          </w:tcPr>
          <w:p w14:paraId="3253684E" w14:textId="77777777" w:rsidR="000A1F34" w:rsidRDefault="000A1F34" w:rsidP="000A1F34">
            <w:pPr>
              <w:jc w:val="center"/>
              <w:rPr>
                <w:sz w:val="24"/>
                <w:szCs w:val="24"/>
              </w:rPr>
            </w:pPr>
          </w:p>
        </w:tc>
        <w:tc>
          <w:tcPr>
            <w:tcW w:w="1080" w:type="dxa"/>
            <w:vAlign w:val="center"/>
          </w:tcPr>
          <w:p w14:paraId="44D558C5" w14:textId="77777777" w:rsidR="000A1F34" w:rsidRDefault="000A1F34" w:rsidP="000A1F34">
            <w:pPr>
              <w:jc w:val="center"/>
              <w:rPr>
                <w:sz w:val="24"/>
                <w:szCs w:val="24"/>
              </w:rPr>
            </w:pPr>
          </w:p>
        </w:tc>
        <w:tc>
          <w:tcPr>
            <w:tcW w:w="1017" w:type="dxa"/>
            <w:vAlign w:val="center"/>
          </w:tcPr>
          <w:p w14:paraId="47BB4EA4" w14:textId="77777777" w:rsidR="000A1F34" w:rsidRDefault="000A1F34" w:rsidP="000A1F34">
            <w:pPr>
              <w:jc w:val="center"/>
              <w:rPr>
                <w:sz w:val="24"/>
                <w:szCs w:val="24"/>
              </w:rPr>
            </w:pPr>
          </w:p>
        </w:tc>
        <w:tc>
          <w:tcPr>
            <w:tcW w:w="1053" w:type="dxa"/>
            <w:vAlign w:val="center"/>
          </w:tcPr>
          <w:p w14:paraId="77C4B195" w14:textId="77777777" w:rsidR="000A1F34" w:rsidRDefault="000A1F34" w:rsidP="000A1F34">
            <w:pPr>
              <w:jc w:val="center"/>
              <w:rPr>
                <w:sz w:val="24"/>
                <w:szCs w:val="24"/>
              </w:rPr>
            </w:pPr>
            <w:r>
              <w:rPr>
                <w:sz w:val="24"/>
                <w:szCs w:val="24"/>
              </w:rPr>
              <w:t>MEAG</w:t>
            </w:r>
          </w:p>
        </w:tc>
        <w:tc>
          <w:tcPr>
            <w:tcW w:w="990" w:type="dxa"/>
            <w:vAlign w:val="center"/>
          </w:tcPr>
          <w:p w14:paraId="4FDD9052" w14:textId="77777777" w:rsidR="000A1F34" w:rsidRDefault="000A1F34" w:rsidP="000A1F34">
            <w:pPr>
              <w:jc w:val="center"/>
              <w:rPr>
                <w:sz w:val="24"/>
                <w:szCs w:val="24"/>
              </w:rPr>
            </w:pPr>
          </w:p>
        </w:tc>
      </w:tr>
      <w:tr w:rsidR="000A1F34" w14:paraId="3F2948D6" w14:textId="77777777" w:rsidTr="000A1F34">
        <w:tc>
          <w:tcPr>
            <w:tcW w:w="990" w:type="dxa"/>
            <w:vAlign w:val="center"/>
          </w:tcPr>
          <w:p w14:paraId="69EF146E" w14:textId="77777777" w:rsidR="000A1F34" w:rsidRDefault="000A1F34" w:rsidP="000A1F34">
            <w:pPr>
              <w:jc w:val="center"/>
              <w:rPr>
                <w:sz w:val="24"/>
                <w:szCs w:val="24"/>
              </w:rPr>
            </w:pPr>
          </w:p>
        </w:tc>
        <w:tc>
          <w:tcPr>
            <w:tcW w:w="1260" w:type="dxa"/>
            <w:vAlign w:val="center"/>
          </w:tcPr>
          <w:p w14:paraId="13EFAC3D" w14:textId="77777777" w:rsidR="000A1F34" w:rsidRDefault="000A1F34" w:rsidP="000A1F34">
            <w:pPr>
              <w:jc w:val="center"/>
              <w:rPr>
                <w:sz w:val="24"/>
                <w:szCs w:val="24"/>
              </w:rPr>
            </w:pPr>
          </w:p>
        </w:tc>
        <w:tc>
          <w:tcPr>
            <w:tcW w:w="1080" w:type="dxa"/>
            <w:vAlign w:val="center"/>
          </w:tcPr>
          <w:p w14:paraId="6CAF5655" w14:textId="77777777" w:rsidR="000A1F34" w:rsidRDefault="000A1F34" w:rsidP="000A1F34">
            <w:pPr>
              <w:jc w:val="center"/>
              <w:rPr>
                <w:sz w:val="24"/>
                <w:szCs w:val="24"/>
              </w:rPr>
            </w:pPr>
          </w:p>
        </w:tc>
        <w:tc>
          <w:tcPr>
            <w:tcW w:w="1017" w:type="dxa"/>
            <w:vAlign w:val="center"/>
          </w:tcPr>
          <w:p w14:paraId="1D8FE13C" w14:textId="77777777" w:rsidR="000A1F34" w:rsidRDefault="000A1F34" w:rsidP="000A1F34">
            <w:pPr>
              <w:jc w:val="center"/>
              <w:rPr>
                <w:sz w:val="24"/>
                <w:szCs w:val="24"/>
              </w:rPr>
            </w:pPr>
          </w:p>
        </w:tc>
        <w:tc>
          <w:tcPr>
            <w:tcW w:w="1053" w:type="dxa"/>
            <w:vAlign w:val="center"/>
          </w:tcPr>
          <w:p w14:paraId="33C07312" w14:textId="77777777" w:rsidR="000A1F34" w:rsidRDefault="000A1F34" w:rsidP="000A1F34">
            <w:pPr>
              <w:jc w:val="center"/>
              <w:rPr>
                <w:sz w:val="24"/>
                <w:szCs w:val="24"/>
              </w:rPr>
            </w:pPr>
            <w:r>
              <w:rPr>
                <w:sz w:val="24"/>
                <w:szCs w:val="24"/>
              </w:rPr>
              <w:t>ALCOA</w:t>
            </w:r>
          </w:p>
        </w:tc>
        <w:tc>
          <w:tcPr>
            <w:tcW w:w="990" w:type="dxa"/>
            <w:vAlign w:val="center"/>
          </w:tcPr>
          <w:p w14:paraId="790B3CD2" w14:textId="77777777" w:rsidR="000A1F34" w:rsidRDefault="000A1F34" w:rsidP="000A1F34">
            <w:pPr>
              <w:jc w:val="center"/>
              <w:rPr>
                <w:sz w:val="24"/>
                <w:szCs w:val="24"/>
              </w:rPr>
            </w:pPr>
          </w:p>
        </w:tc>
      </w:tr>
      <w:tr w:rsidR="000A1F34" w14:paraId="3169AB62" w14:textId="77777777" w:rsidTr="000A1F34">
        <w:tc>
          <w:tcPr>
            <w:tcW w:w="990" w:type="dxa"/>
            <w:vAlign w:val="center"/>
          </w:tcPr>
          <w:p w14:paraId="2DDC2005" w14:textId="77777777" w:rsidR="000A1F34" w:rsidRDefault="000A1F34" w:rsidP="000A1F34">
            <w:pPr>
              <w:jc w:val="center"/>
              <w:rPr>
                <w:sz w:val="24"/>
                <w:szCs w:val="24"/>
              </w:rPr>
            </w:pPr>
          </w:p>
        </w:tc>
        <w:tc>
          <w:tcPr>
            <w:tcW w:w="1260" w:type="dxa"/>
            <w:vAlign w:val="center"/>
          </w:tcPr>
          <w:p w14:paraId="70C53754" w14:textId="77777777" w:rsidR="000A1F34" w:rsidRDefault="000A1F34" w:rsidP="000A1F34">
            <w:pPr>
              <w:jc w:val="center"/>
              <w:rPr>
                <w:sz w:val="24"/>
                <w:szCs w:val="24"/>
              </w:rPr>
            </w:pPr>
          </w:p>
        </w:tc>
        <w:tc>
          <w:tcPr>
            <w:tcW w:w="1080" w:type="dxa"/>
            <w:vAlign w:val="center"/>
          </w:tcPr>
          <w:p w14:paraId="58E897B6" w14:textId="77777777" w:rsidR="000A1F34" w:rsidRDefault="000A1F34" w:rsidP="000A1F34">
            <w:pPr>
              <w:jc w:val="center"/>
              <w:rPr>
                <w:sz w:val="24"/>
                <w:szCs w:val="24"/>
              </w:rPr>
            </w:pPr>
          </w:p>
        </w:tc>
        <w:tc>
          <w:tcPr>
            <w:tcW w:w="1017" w:type="dxa"/>
            <w:vAlign w:val="center"/>
          </w:tcPr>
          <w:p w14:paraId="6E11073E" w14:textId="77777777" w:rsidR="000A1F34" w:rsidRDefault="000A1F34" w:rsidP="000A1F34">
            <w:pPr>
              <w:jc w:val="center"/>
              <w:rPr>
                <w:sz w:val="24"/>
                <w:szCs w:val="24"/>
              </w:rPr>
            </w:pPr>
          </w:p>
        </w:tc>
        <w:tc>
          <w:tcPr>
            <w:tcW w:w="1053" w:type="dxa"/>
            <w:vAlign w:val="center"/>
          </w:tcPr>
          <w:p w14:paraId="1E4FC578" w14:textId="77777777" w:rsidR="000A1F34" w:rsidRDefault="000A1F34" w:rsidP="000A1F34">
            <w:pPr>
              <w:jc w:val="center"/>
              <w:rPr>
                <w:sz w:val="24"/>
                <w:szCs w:val="24"/>
              </w:rPr>
            </w:pPr>
            <w:r>
              <w:rPr>
                <w:sz w:val="24"/>
                <w:szCs w:val="24"/>
              </w:rPr>
              <w:t>TVA</w:t>
            </w:r>
          </w:p>
        </w:tc>
        <w:tc>
          <w:tcPr>
            <w:tcW w:w="990" w:type="dxa"/>
            <w:vAlign w:val="center"/>
          </w:tcPr>
          <w:p w14:paraId="75574E74" w14:textId="77777777" w:rsidR="000A1F34" w:rsidRDefault="000A1F34" w:rsidP="000A1F34">
            <w:pPr>
              <w:jc w:val="center"/>
              <w:rPr>
                <w:sz w:val="24"/>
                <w:szCs w:val="24"/>
              </w:rPr>
            </w:pPr>
          </w:p>
        </w:tc>
      </w:tr>
      <w:tr w:rsidR="000A1F34" w14:paraId="0B5D6971" w14:textId="77777777" w:rsidTr="000A1F34">
        <w:tc>
          <w:tcPr>
            <w:tcW w:w="990" w:type="dxa"/>
            <w:vAlign w:val="center"/>
          </w:tcPr>
          <w:p w14:paraId="3DE0902A" w14:textId="77777777" w:rsidR="000A1F34" w:rsidRDefault="000A1F34" w:rsidP="000A1F34">
            <w:pPr>
              <w:jc w:val="center"/>
              <w:rPr>
                <w:sz w:val="24"/>
                <w:szCs w:val="24"/>
              </w:rPr>
            </w:pPr>
          </w:p>
        </w:tc>
        <w:tc>
          <w:tcPr>
            <w:tcW w:w="1260" w:type="dxa"/>
            <w:vAlign w:val="center"/>
          </w:tcPr>
          <w:p w14:paraId="6B07729F" w14:textId="77777777" w:rsidR="000A1F34" w:rsidRDefault="000A1F34" w:rsidP="000A1F34">
            <w:pPr>
              <w:jc w:val="center"/>
              <w:rPr>
                <w:sz w:val="24"/>
                <w:szCs w:val="24"/>
              </w:rPr>
            </w:pPr>
          </w:p>
        </w:tc>
        <w:tc>
          <w:tcPr>
            <w:tcW w:w="1080" w:type="dxa"/>
            <w:vAlign w:val="center"/>
          </w:tcPr>
          <w:p w14:paraId="17C53606" w14:textId="77777777" w:rsidR="000A1F34" w:rsidRDefault="000A1F34" w:rsidP="000A1F34">
            <w:pPr>
              <w:jc w:val="center"/>
              <w:rPr>
                <w:sz w:val="24"/>
                <w:szCs w:val="24"/>
              </w:rPr>
            </w:pPr>
          </w:p>
        </w:tc>
        <w:tc>
          <w:tcPr>
            <w:tcW w:w="1017" w:type="dxa"/>
            <w:vAlign w:val="center"/>
          </w:tcPr>
          <w:p w14:paraId="03B64C31" w14:textId="77777777" w:rsidR="000A1F34" w:rsidRDefault="000A1F34" w:rsidP="000A1F34">
            <w:pPr>
              <w:jc w:val="center"/>
              <w:rPr>
                <w:sz w:val="24"/>
                <w:szCs w:val="24"/>
              </w:rPr>
            </w:pPr>
          </w:p>
        </w:tc>
        <w:tc>
          <w:tcPr>
            <w:tcW w:w="1053" w:type="dxa"/>
            <w:vAlign w:val="center"/>
          </w:tcPr>
          <w:p w14:paraId="03959646" w14:textId="77777777" w:rsidR="000A1F34" w:rsidRDefault="000A1F34" w:rsidP="000A1F34">
            <w:pPr>
              <w:jc w:val="center"/>
              <w:rPr>
                <w:sz w:val="24"/>
                <w:szCs w:val="24"/>
              </w:rPr>
            </w:pPr>
            <w:r>
              <w:rPr>
                <w:sz w:val="24"/>
                <w:szCs w:val="24"/>
              </w:rPr>
              <w:t>EEI</w:t>
            </w:r>
          </w:p>
        </w:tc>
        <w:tc>
          <w:tcPr>
            <w:tcW w:w="990" w:type="dxa"/>
            <w:vAlign w:val="center"/>
          </w:tcPr>
          <w:p w14:paraId="1CB29DD3" w14:textId="77777777" w:rsidR="000A1F34" w:rsidRDefault="000A1F34" w:rsidP="000A1F34">
            <w:pPr>
              <w:jc w:val="center"/>
              <w:rPr>
                <w:sz w:val="24"/>
                <w:szCs w:val="24"/>
              </w:rPr>
            </w:pPr>
          </w:p>
        </w:tc>
      </w:tr>
    </w:tbl>
    <w:p w14:paraId="19A2D9F6" w14:textId="77777777" w:rsidR="0069715D" w:rsidRPr="0069715D" w:rsidRDefault="0069715D" w:rsidP="0069715D">
      <w:pPr>
        <w:spacing w:after="0"/>
        <w:rPr>
          <w:sz w:val="24"/>
          <w:szCs w:val="24"/>
        </w:rPr>
      </w:pPr>
    </w:p>
    <w:p w14:paraId="179077E7" w14:textId="77777777" w:rsidR="000A1F34" w:rsidRDefault="000A1F34" w:rsidP="00180A98">
      <w:pPr>
        <w:spacing w:after="0"/>
        <w:rPr>
          <w:sz w:val="24"/>
          <w:szCs w:val="24"/>
        </w:rPr>
      </w:pPr>
    </w:p>
    <w:p w14:paraId="1C54A1FA" w14:textId="77777777" w:rsidR="000A1F34" w:rsidRDefault="00180A98" w:rsidP="00180A98">
      <w:pPr>
        <w:spacing w:after="0"/>
        <w:rPr>
          <w:sz w:val="24"/>
          <w:szCs w:val="24"/>
        </w:rPr>
      </w:pPr>
      <w:r w:rsidRPr="000A1F34">
        <w:rPr>
          <w:sz w:val="24"/>
          <w:szCs w:val="24"/>
          <w:u w:val="single"/>
        </w:rPr>
        <w:t>Resource Modifications</w:t>
      </w:r>
      <w:r w:rsidRPr="00180A98">
        <w:rPr>
          <w:sz w:val="24"/>
          <w:szCs w:val="24"/>
        </w:rPr>
        <w:t xml:space="preserve"> </w:t>
      </w:r>
    </w:p>
    <w:p w14:paraId="75D6AB1D" w14:textId="77777777" w:rsidR="000A1F34" w:rsidRDefault="000A1F34" w:rsidP="00180A98">
      <w:pPr>
        <w:spacing w:after="0"/>
        <w:rPr>
          <w:sz w:val="24"/>
          <w:szCs w:val="24"/>
        </w:rPr>
      </w:pPr>
    </w:p>
    <w:p w14:paraId="476F79AF" w14:textId="49FD4DAC" w:rsidR="000A1F34" w:rsidRDefault="00180A98" w:rsidP="00FB38BA">
      <w:pPr>
        <w:pStyle w:val="ListParagraph"/>
        <w:numPr>
          <w:ilvl w:val="0"/>
          <w:numId w:val="2"/>
        </w:numPr>
        <w:spacing w:after="0"/>
        <w:rPr>
          <w:sz w:val="24"/>
          <w:szCs w:val="24"/>
        </w:rPr>
      </w:pPr>
      <w:r w:rsidRPr="000A1F34">
        <w:rPr>
          <w:sz w:val="24"/>
          <w:szCs w:val="24"/>
        </w:rPr>
        <w:t xml:space="preserve">Transfers will be modeled as </w:t>
      </w:r>
      <w:r w:rsidR="00FB38BA" w:rsidRPr="00FB38BA">
        <w:rPr>
          <w:sz w:val="24"/>
          <w:szCs w:val="24"/>
        </w:rPr>
        <w:t>uniform generation to generation shift between areas of interest</w:t>
      </w:r>
      <w:r w:rsidRPr="000A1F34">
        <w:rPr>
          <w:sz w:val="24"/>
          <w:szCs w:val="24"/>
        </w:rPr>
        <w:t>.</w:t>
      </w:r>
    </w:p>
    <w:p w14:paraId="1A9C1C0C" w14:textId="77777777" w:rsidR="000A1F34" w:rsidRDefault="00180A98" w:rsidP="000A1F34">
      <w:pPr>
        <w:pStyle w:val="ListParagraph"/>
        <w:numPr>
          <w:ilvl w:val="0"/>
          <w:numId w:val="2"/>
        </w:numPr>
        <w:spacing w:after="0"/>
        <w:rPr>
          <w:sz w:val="24"/>
          <w:szCs w:val="24"/>
        </w:rPr>
      </w:pPr>
      <w:r w:rsidRPr="000A1F34">
        <w:rPr>
          <w:sz w:val="24"/>
          <w:szCs w:val="24"/>
        </w:rPr>
        <w:t xml:space="preserve">Transfer sources will include available generation, including off-line units, honoring machine operating limits. </w:t>
      </w:r>
    </w:p>
    <w:p w14:paraId="71ECBA4B" w14:textId="77777777" w:rsidR="00180A98" w:rsidRDefault="00180A98" w:rsidP="000A1F34">
      <w:pPr>
        <w:pStyle w:val="ListParagraph"/>
        <w:numPr>
          <w:ilvl w:val="0"/>
          <w:numId w:val="2"/>
        </w:numPr>
        <w:spacing w:after="0"/>
        <w:rPr>
          <w:sz w:val="24"/>
          <w:szCs w:val="24"/>
        </w:rPr>
      </w:pPr>
      <w:r w:rsidRPr="000A1F34">
        <w:rPr>
          <w:sz w:val="24"/>
          <w:szCs w:val="24"/>
        </w:rPr>
        <w:t xml:space="preserve">Transfer sinks will be allocated among the sink </w:t>
      </w:r>
      <w:r w:rsidR="00CF4567">
        <w:rPr>
          <w:sz w:val="24"/>
          <w:szCs w:val="24"/>
        </w:rPr>
        <w:t xml:space="preserve">PAs based </w:t>
      </w:r>
      <w:r w:rsidRPr="000A1F34">
        <w:rPr>
          <w:sz w:val="24"/>
          <w:szCs w:val="24"/>
        </w:rPr>
        <w:t>on a ratio share</w:t>
      </w:r>
      <w:r w:rsidR="00CF4567">
        <w:rPr>
          <w:sz w:val="24"/>
          <w:szCs w:val="24"/>
        </w:rPr>
        <w:t xml:space="preserve"> of the amount of natural gas resources located within each PA</w:t>
      </w:r>
      <w:r w:rsidRPr="000A1F34">
        <w:rPr>
          <w:sz w:val="24"/>
          <w:szCs w:val="24"/>
        </w:rPr>
        <w:t>.</w:t>
      </w:r>
    </w:p>
    <w:p w14:paraId="21B3C975" w14:textId="77777777" w:rsidR="000A1F34" w:rsidRDefault="000A1F34" w:rsidP="000A1F34">
      <w:pPr>
        <w:spacing w:after="0"/>
        <w:rPr>
          <w:sz w:val="24"/>
          <w:szCs w:val="24"/>
        </w:rPr>
        <w:sectPr w:rsidR="000A1F34">
          <w:headerReference w:type="default" r:id="rId8"/>
          <w:footerReference w:type="default" r:id="rId9"/>
          <w:pgSz w:w="12240" w:h="15840"/>
          <w:pgMar w:top="1440" w:right="1440" w:bottom="1440" w:left="1440" w:header="720" w:footer="720" w:gutter="0"/>
          <w:cols w:space="720"/>
          <w:docGrid w:linePitch="360"/>
        </w:sectPr>
      </w:pPr>
    </w:p>
    <w:p w14:paraId="09444AE0" w14:textId="77777777" w:rsidR="00180A98" w:rsidRPr="000048D0" w:rsidRDefault="000A1F34" w:rsidP="000A1F34">
      <w:pPr>
        <w:spacing w:after="0"/>
        <w:jc w:val="center"/>
        <w:rPr>
          <w:b/>
          <w:sz w:val="24"/>
          <w:szCs w:val="24"/>
        </w:rPr>
      </w:pPr>
      <w:r w:rsidRPr="000048D0">
        <w:rPr>
          <w:b/>
          <w:sz w:val="24"/>
          <w:szCs w:val="24"/>
        </w:rPr>
        <w:lastRenderedPageBreak/>
        <w:t>S</w:t>
      </w:r>
      <w:r w:rsidR="00180A98" w:rsidRPr="000048D0">
        <w:rPr>
          <w:b/>
          <w:sz w:val="24"/>
          <w:szCs w:val="24"/>
        </w:rPr>
        <w:t>cenario 2</w:t>
      </w:r>
    </w:p>
    <w:p w14:paraId="1BF91DC9" w14:textId="77777777" w:rsidR="000A1F34" w:rsidRDefault="000A1F34" w:rsidP="00180A98">
      <w:pPr>
        <w:spacing w:after="0"/>
        <w:rPr>
          <w:sz w:val="24"/>
          <w:szCs w:val="24"/>
        </w:rPr>
      </w:pPr>
    </w:p>
    <w:p w14:paraId="3EF87A84" w14:textId="679CC044" w:rsidR="00180A98" w:rsidRPr="00180A98" w:rsidRDefault="00180A98" w:rsidP="00180A98">
      <w:pPr>
        <w:spacing w:after="0"/>
        <w:rPr>
          <w:sz w:val="24"/>
          <w:szCs w:val="24"/>
        </w:rPr>
      </w:pPr>
      <w:r w:rsidRPr="000048D0">
        <w:rPr>
          <w:b/>
          <w:sz w:val="24"/>
          <w:szCs w:val="24"/>
        </w:rPr>
        <w:t xml:space="preserve">Scenario Title: </w:t>
      </w:r>
      <w:r w:rsidRPr="00180A98">
        <w:rPr>
          <w:sz w:val="24"/>
          <w:szCs w:val="24"/>
        </w:rPr>
        <w:t xml:space="preserve">Inter-Regional Capabilities and Constraints during </w:t>
      </w:r>
      <w:r w:rsidR="00614463">
        <w:rPr>
          <w:sz w:val="24"/>
          <w:szCs w:val="24"/>
        </w:rPr>
        <w:t>Summer</w:t>
      </w:r>
      <w:r w:rsidR="00614463" w:rsidRPr="00180A98">
        <w:rPr>
          <w:sz w:val="24"/>
          <w:szCs w:val="24"/>
        </w:rPr>
        <w:t xml:space="preserve"> </w:t>
      </w:r>
      <w:r w:rsidRPr="00180A98">
        <w:rPr>
          <w:sz w:val="24"/>
          <w:szCs w:val="24"/>
        </w:rPr>
        <w:t>Peak Conditions</w:t>
      </w:r>
    </w:p>
    <w:p w14:paraId="5D80F344" w14:textId="77777777" w:rsidR="00180A98" w:rsidRPr="00180A98" w:rsidRDefault="00180A98" w:rsidP="00180A98">
      <w:pPr>
        <w:spacing w:after="0"/>
        <w:rPr>
          <w:sz w:val="24"/>
          <w:szCs w:val="24"/>
        </w:rPr>
      </w:pPr>
      <w:r w:rsidRPr="000048D0">
        <w:rPr>
          <w:b/>
          <w:sz w:val="24"/>
          <w:szCs w:val="24"/>
        </w:rPr>
        <w:t>Scenario Submitted by:</w:t>
      </w:r>
      <w:r w:rsidRPr="00180A98">
        <w:rPr>
          <w:sz w:val="24"/>
          <w:szCs w:val="24"/>
        </w:rPr>
        <w:t xml:space="preserve"> Example Scenario 2</w:t>
      </w:r>
    </w:p>
    <w:p w14:paraId="37016553" w14:textId="77777777" w:rsidR="00180A98" w:rsidRPr="00180A98" w:rsidRDefault="00180A98" w:rsidP="00180A98">
      <w:pPr>
        <w:spacing w:after="0"/>
        <w:rPr>
          <w:sz w:val="24"/>
          <w:szCs w:val="24"/>
        </w:rPr>
      </w:pPr>
      <w:r w:rsidRPr="000048D0">
        <w:rPr>
          <w:b/>
          <w:sz w:val="24"/>
          <w:szCs w:val="24"/>
        </w:rPr>
        <w:t xml:space="preserve">Study Case: </w:t>
      </w:r>
      <w:r w:rsidRPr="00180A98">
        <w:rPr>
          <w:sz w:val="24"/>
          <w:szCs w:val="24"/>
        </w:rPr>
        <w:t>20</w:t>
      </w:r>
      <w:r w:rsidR="000048D0">
        <w:rPr>
          <w:sz w:val="24"/>
          <w:szCs w:val="24"/>
        </w:rPr>
        <w:t>25</w:t>
      </w:r>
      <w:r w:rsidRPr="00180A98">
        <w:rPr>
          <w:sz w:val="24"/>
          <w:szCs w:val="24"/>
        </w:rPr>
        <w:t xml:space="preserve"> S</w:t>
      </w:r>
      <w:r w:rsidR="000048D0">
        <w:rPr>
          <w:sz w:val="24"/>
          <w:szCs w:val="24"/>
        </w:rPr>
        <w:t>ummer</w:t>
      </w:r>
      <w:r w:rsidRPr="00180A98">
        <w:rPr>
          <w:sz w:val="24"/>
          <w:szCs w:val="24"/>
        </w:rPr>
        <w:t xml:space="preserve"> Peak</w:t>
      </w:r>
    </w:p>
    <w:p w14:paraId="4B98F107" w14:textId="77777777" w:rsidR="000A1F34" w:rsidRDefault="000A1F34" w:rsidP="00180A98">
      <w:pPr>
        <w:spacing w:after="0"/>
        <w:rPr>
          <w:sz w:val="24"/>
          <w:szCs w:val="24"/>
        </w:rPr>
      </w:pPr>
    </w:p>
    <w:p w14:paraId="45636525" w14:textId="77777777" w:rsidR="00180A98" w:rsidRPr="000048D0" w:rsidRDefault="00180A98" w:rsidP="00180A98">
      <w:pPr>
        <w:spacing w:after="0"/>
        <w:rPr>
          <w:sz w:val="24"/>
          <w:szCs w:val="24"/>
          <w:u w:val="single"/>
        </w:rPr>
      </w:pPr>
      <w:r w:rsidRPr="000048D0">
        <w:rPr>
          <w:sz w:val="24"/>
          <w:szCs w:val="24"/>
          <w:u w:val="single"/>
        </w:rPr>
        <w:t>General Description and Premise</w:t>
      </w:r>
    </w:p>
    <w:p w14:paraId="112C20D9" w14:textId="77777777" w:rsidR="00180A98" w:rsidRDefault="00180A98" w:rsidP="00180A98">
      <w:pPr>
        <w:spacing w:after="0"/>
        <w:rPr>
          <w:sz w:val="24"/>
          <w:szCs w:val="24"/>
        </w:rPr>
      </w:pPr>
      <w:r w:rsidRPr="00180A98">
        <w:rPr>
          <w:sz w:val="24"/>
          <w:szCs w:val="24"/>
        </w:rPr>
        <w:t>This scenario would assess the Eastern Interconnection’s ability to transfer large amounts of power among regions of interest during s</w:t>
      </w:r>
      <w:r w:rsidR="000048D0">
        <w:rPr>
          <w:sz w:val="24"/>
          <w:szCs w:val="24"/>
        </w:rPr>
        <w:t>ummer</w:t>
      </w:r>
      <w:r w:rsidRPr="00180A98">
        <w:rPr>
          <w:sz w:val="24"/>
          <w:szCs w:val="24"/>
        </w:rPr>
        <w:t xml:space="preserve"> peak conditions</w:t>
      </w:r>
      <w:r w:rsidR="00BF617B">
        <w:rPr>
          <w:sz w:val="24"/>
          <w:szCs w:val="24"/>
        </w:rPr>
        <w:t xml:space="preserve"> with large amounts of coal generation off-line</w:t>
      </w:r>
      <w:r w:rsidRPr="00180A98">
        <w:rPr>
          <w:sz w:val="24"/>
          <w:szCs w:val="24"/>
        </w:rPr>
        <w:t xml:space="preserve">. </w:t>
      </w:r>
      <w:r w:rsidR="000048D0">
        <w:rPr>
          <w:sz w:val="24"/>
          <w:szCs w:val="24"/>
        </w:rPr>
        <w:t xml:space="preserve"> </w:t>
      </w:r>
      <w:r w:rsidR="00BF617B">
        <w:rPr>
          <w:sz w:val="24"/>
          <w:szCs w:val="24"/>
        </w:rPr>
        <w:t>S</w:t>
      </w:r>
      <w:r w:rsidR="000048D0">
        <w:rPr>
          <w:sz w:val="24"/>
          <w:szCs w:val="24"/>
        </w:rPr>
        <w:t xml:space="preserve">ummer </w:t>
      </w:r>
      <w:r w:rsidRPr="00180A98">
        <w:rPr>
          <w:sz w:val="24"/>
          <w:szCs w:val="24"/>
        </w:rPr>
        <w:t xml:space="preserve">operations are growing in complexity as gas-fired generation, renewables, and demand-side options continue to increase as percentage of the overall generation mix. </w:t>
      </w:r>
      <w:r w:rsidR="000048D0">
        <w:rPr>
          <w:sz w:val="24"/>
          <w:szCs w:val="24"/>
        </w:rPr>
        <w:t xml:space="preserve"> </w:t>
      </w:r>
      <w:r w:rsidRPr="00180A98">
        <w:rPr>
          <w:sz w:val="24"/>
          <w:szCs w:val="24"/>
        </w:rPr>
        <w:t>Many factors come in to play during s</w:t>
      </w:r>
      <w:r w:rsidR="000048D0">
        <w:rPr>
          <w:sz w:val="24"/>
          <w:szCs w:val="24"/>
        </w:rPr>
        <w:t>ummer</w:t>
      </w:r>
      <w:r w:rsidRPr="00180A98">
        <w:rPr>
          <w:sz w:val="24"/>
          <w:szCs w:val="24"/>
        </w:rPr>
        <w:t xml:space="preserve"> conditions. </w:t>
      </w:r>
      <w:r w:rsidR="000048D0">
        <w:rPr>
          <w:sz w:val="24"/>
          <w:szCs w:val="24"/>
        </w:rPr>
        <w:t xml:space="preserve"> </w:t>
      </w:r>
      <w:r w:rsidRPr="00180A98">
        <w:rPr>
          <w:sz w:val="24"/>
          <w:szCs w:val="24"/>
        </w:rPr>
        <w:t>Generation resource</w:t>
      </w:r>
      <w:r w:rsidR="000048D0">
        <w:rPr>
          <w:sz w:val="24"/>
          <w:szCs w:val="24"/>
        </w:rPr>
        <w:t xml:space="preserve"> margins are critical during summer periods.  </w:t>
      </w:r>
      <w:r w:rsidRPr="00180A98">
        <w:rPr>
          <w:sz w:val="24"/>
          <w:szCs w:val="24"/>
        </w:rPr>
        <w:t xml:space="preserve">Wind resources generally have higher capacity factors </w:t>
      </w:r>
      <w:r w:rsidR="00BE6649">
        <w:rPr>
          <w:sz w:val="24"/>
          <w:szCs w:val="24"/>
        </w:rPr>
        <w:t>and</w:t>
      </w:r>
      <w:r w:rsidRPr="00180A98">
        <w:rPr>
          <w:sz w:val="24"/>
          <w:szCs w:val="24"/>
        </w:rPr>
        <w:t xml:space="preserve"> solar resources have</w:t>
      </w:r>
      <w:r w:rsidR="00BE6649">
        <w:rPr>
          <w:sz w:val="24"/>
          <w:szCs w:val="24"/>
        </w:rPr>
        <w:t xml:space="preserve"> longer </w:t>
      </w:r>
      <w:r w:rsidRPr="00180A98">
        <w:rPr>
          <w:sz w:val="24"/>
          <w:szCs w:val="24"/>
        </w:rPr>
        <w:t xml:space="preserve">production hours than </w:t>
      </w:r>
      <w:r w:rsidR="00BE6649">
        <w:rPr>
          <w:sz w:val="24"/>
          <w:szCs w:val="24"/>
        </w:rPr>
        <w:t xml:space="preserve">in </w:t>
      </w:r>
      <w:r w:rsidRPr="00180A98">
        <w:rPr>
          <w:sz w:val="24"/>
          <w:szCs w:val="24"/>
        </w:rPr>
        <w:t xml:space="preserve">winter. </w:t>
      </w:r>
      <w:r w:rsidR="00BE6649">
        <w:rPr>
          <w:sz w:val="24"/>
          <w:szCs w:val="24"/>
        </w:rPr>
        <w:t xml:space="preserve"> </w:t>
      </w:r>
      <w:r w:rsidRPr="00180A98">
        <w:rPr>
          <w:sz w:val="24"/>
          <w:szCs w:val="24"/>
        </w:rPr>
        <w:t>This scenario would provide both an assessment of inter-regional capabilities and constraints for 20</w:t>
      </w:r>
      <w:r w:rsidR="00BE6649">
        <w:rPr>
          <w:sz w:val="24"/>
          <w:szCs w:val="24"/>
        </w:rPr>
        <w:t>25</w:t>
      </w:r>
      <w:r w:rsidRPr="00180A98">
        <w:rPr>
          <w:sz w:val="24"/>
          <w:szCs w:val="24"/>
        </w:rPr>
        <w:t xml:space="preserve"> s</w:t>
      </w:r>
      <w:r w:rsidR="00BE6649">
        <w:rPr>
          <w:sz w:val="24"/>
          <w:szCs w:val="24"/>
        </w:rPr>
        <w:t>ummer</w:t>
      </w:r>
      <w:r w:rsidRPr="00180A98">
        <w:rPr>
          <w:sz w:val="24"/>
          <w:szCs w:val="24"/>
        </w:rPr>
        <w:t xml:space="preserve"> conditions, and also would provide suitable modeling to enable independent analysis by transmission planners and other industry analysts.</w:t>
      </w:r>
    </w:p>
    <w:p w14:paraId="64F4E797" w14:textId="77777777" w:rsidR="00BE6649" w:rsidRPr="00180A98" w:rsidRDefault="00BE6649" w:rsidP="00180A98">
      <w:pPr>
        <w:spacing w:after="0"/>
        <w:rPr>
          <w:sz w:val="24"/>
          <w:szCs w:val="24"/>
        </w:rPr>
      </w:pPr>
    </w:p>
    <w:p w14:paraId="226585FE" w14:textId="77777777" w:rsidR="00180A98" w:rsidRPr="00180A98" w:rsidRDefault="00BE6649" w:rsidP="00180A98">
      <w:pPr>
        <w:spacing w:after="0"/>
        <w:rPr>
          <w:sz w:val="24"/>
          <w:szCs w:val="24"/>
        </w:rPr>
      </w:pPr>
      <w:r w:rsidRPr="00BE6649">
        <w:rPr>
          <w:sz w:val="24"/>
          <w:szCs w:val="24"/>
        </w:rPr>
        <w:t xml:space="preserve">In this scenario, the EIPC SSMLFWG planners would utilize the 2025 </w:t>
      </w:r>
      <w:r>
        <w:rPr>
          <w:sz w:val="24"/>
          <w:szCs w:val="24"/>
        </w:rPr>
        <w:t>Summer</w:t>
      </w:r>
      <w:r w:rsidRPr="00BE6649">
        <w:rPr>
          <w:sz w:val="24"/>
          <w:szCs w:val="24"/>
        </w:rPr>
        <w:t xml:space="preserve"> Peak Roll-up Case of the Eastern Interconnection developed in 2015.  The EIPC SSMLFWG would then assess the ability of the system to move power among specific regions of interest </w:t>
      </w:r>
      <w:r w:rsidR="00BF617B">
        <w:rPr>
          <w:sz w:val="24"/>
          <w:szCs w:val="24"/>
        </w:rPr>
        <w:t xml:space="preserve">where large portions of coal fired generation are assumed to be off-line </w:t>
      </w:r>
      <w:r w:rsidRPr="00BE6649">
        <w:rPr>
          <w:sz w:val="24"/>
          <w:szCs w:val="24"/>
        </w:rPr>
        <w:t xml:space="preserve">during </w:t>
      </w:r>
      <w:r>
        <w:rPr>
          <w:sz w:val="24"/>
          <w:szCs w:val="24"/>
        </w:rPr>
        <w:t>summer</w:t>
      </w:r>
      <w:r w:rsidRPr="00BE6649">
        <w:rPr>
          <w:sz w:val="24"/>
          <w:szCs w:val="24"/>
        </w:rPr>
        <w:t xml:space="preserve"> peak conditions and identify associated transmission constraints.</w:t>
      </w:r>
      <w:r w:rsidR="00180A98" w:rsidRPr="00180A98">
        <w:rPr>
          <w:sz w:val="24"/>
          <w:szCs w:val="24"/>
        </w:rPr>
        <w:t xml:space="preserve"> The results of the analysis may identify potential constraints between regions during s</w:t>
      </w:r>
      <w:r>
        <w:rPr>
          <w:sz w:val="24"/>
          <w:szCs w:val="24"/>
        </w:rPr>
        <w:t>ummer</w:t>
      </w:r>
      <w:r w:rsidR="00180A98" w:rsidRPr="00180A98">
        <w:rPr>
          <w:sz w:val="24"/>
          <w:szCs w:val="24"/>
        </w:rPr>
        <w:t xml:space="preserve"> peak conditions </w:t>
      </w:r>
      <w:r w:rsidR="000712AD">
        <w:rPr>
          <w:sz w:val="24"/>
          <w:szCs w:val="24"/>
        </w:rPr>
        <w:t xml:space="preserve">and </w:t>
      </w:r>
      <w:r w:rsidR="00180A98" w:rsidRPr="00180A98">
        <w:rPr>
          <w:sz w:val="24"/>
          <w:szCs w:val="24"/>
        </w:rPr>
        <w:t>may also provide insight into the ability to access neighboring regions for assistance during periods of significant resource outages during s</w:t>
      </w:r>
      <w:r>
        <w:rPr>
          <w:sz w:val="24"/>
          <w:szCs w:val="24"/>
        </w:rPr>
        <w:t>ummer</w:t>
      </w:r>
      <w:r w:rsidR="00180A98" w:rsidRPr="00180A98">
        <w:rPr>
          <w:sz w:val="24"/>
          <w:szCs w:val="24"/>
        </w:rPr>
        <w:t xml:space="preserve"> conditions. </w:t>
      </w:r>
      <w:r>
        <w:rPr>
          <w:sz w:val="24"/>
          <w:szCs w:val="24"/>
        </w:rPr>
        <w:t xml:space="preserve"> </w:t>
      </w:r>
      <w:r w:rsidR="00180A98" w:rsidRPr="00180A98">
        <w:rPr>
          <w:sz w:val="24"/>
          <w:szCs w:val="24"/>
        </w:rPr>
        <w:t>In addition to the EIPC SSMLFWG analysis conducted through the scenario, the modeling will be available to planners and other interested parties to conduct independent analyses of specific s</w:t>
      </w:r>
      <w:r>
        <w:rPr>
          <w:sz w:val="24"/>
          <w:szCs w:val="24"/>
        </w:rPr>
        <w:t xml:space="preserve">ummer </w:t>
      </w:r>
      <w:r w:rsidR="00180A98" w:rsidRPr="00180A98">
        <w:rPr>
          <w:sz w:val="24"/>
          <w:szCs w:val="24"/>
        </w:rPr>
        <w:t>conditions and resource scenarios.</w:t>
      </w:r>
    </w:p>
    <w:p w14:paraId="2BD21799" w14:textId="77777777" w:rsidR="00BE6649" w:rsidRDefault="00BE6649" w:rsidP="00180A98">
      <w:pPr>
        <w:spacing w:after="0"/>
        <w:rPr>
          <w:sz w:val="24"/>
          <w:szCs w:val="24"/>
        </w:rPr>
      </w:pPr>
    </w:p>
    <w:p w14:paraId="35E01682" w14:textId="77777777" w:rsidR="00180A98" w:rsidRPr="00BE6649" w:rsidRDefault="00180A98" w:rsidP="00180A98">
      <w:pPr>
        <w:spacing w:after="0"/>
        <w:rPr>
          <w:sz w:val="24"/>
          <w:szCs w:val="24"/>
          <w:u w:val="single"/>
        </w:rPr>
      </w:pPr>
      <w:r w:rsidRPr="00BE6649">
        <w:rPr>
          <w:sz w:val="24"/>
          <w:szCs w:val="24"/>
          <w:u w:val="single"/>
        </w:rPr>
        <w:t>Questions to be Answered Based on Power Flow Analysis</w:t>
      </w:r>
    </w:p>
    <w:p w14:paraId="70CC4F77" w14:textId="77777777" w:rsidR="00BE6649" w:rsidRDefault="00BE6649" w:rsidP="00180A98">
      <w:pPr>
        <w:spacing w:after="0"/>
        <w:rPr>
          <w:sz w:val="24"/>
          <w:szCs w:val="24"/>
        </w:rPr>
      </w:pPr>
    </w:p>
    <w:p w14:paraId="69118B0E" w14:textId="77777777" w:rsidR="00180A98" w:rsidRPr="00614463" w:rsidRDefault="000712AD" w:rsidP="00614463">
      <w:pPr>
        <w:pStyle w:val="ListParagraph"/>
        <w:numPr>
          <w:ilvl w:val="0"/>
          <w:numId w:val="7"/>
        </w:numPr>
        <w:spacing w:after="0"/>
        <w:rPr>
          <w:sz w:val="24"/>
          <w:szCs w:val="24"/>
        </w:rPr>
      </w:pPr>
      <w:r w:rsidRPr="00614463">
        <w:rPr>
          <w:sz w:val="24"/>
          <w:szCs w:val="24"/>
        </w:rPr>
        <w:t xml:space="preserve">What constraints arise when </w:t>
      </w:r>
      <w:r>
        <w:rPr>
          <w:sz w:val="24"/>
          <w:szCs w:val="24"/>
        </w:rPr>
        <w:t>coal</w:t>
      </w:r>
      <w:r w:rsidRPr="00614463">
        <w:rPr>
          <w:sz w:val="24"/>
          <w:szCs w:val="24"/>
        </w:rPr>
        <w:t xml:space="preserve"> fired generation becomes regionally limited during </w:t>
      </w:r>
      <w:r>
        <w:rPr>
          <w:sz w:val="24"/>
          <w:szCs w:val="24"/>
        </w:rPr>
        <w:t>summer</w:t>
      </w:r>
      <w:r w:rsidRPr="00614463">
        <w:rPr>
          <w:sz w:val="24"/>
          <w:szCs w:val="24"/>
        </w:rPr>
        <w:t xml:space="preserve"> conditions?</w:t>
      </w:r>
    </w:p>
    <w:p w14:paraId="6110779E" w14:textId="77777777" w:rsidR="00BE6649" w:rsidRDefault="00BE6649" w:rsidP="00180A98">
      <w:pPr>
        <w:spacing w:after="0"/>
        <w:rPr>
          <w:sz w:val="24"/>
          <w:szCs w:val="24"/>
        </w:rPr>
      </w:pPr>
    </w:p>
    <w:p w14:paraId="4FC9D8F1" w14:textId="77777777" w:rsidR="00BE6649" w:rsidRDefault="00180A98" w:rsidP="00180A98">
      <w:pPr>
        <w:spacing w:after="0"/>
        <w:rPr>
          <w:sz w:val="24"/>
          <w:szCs w:val="24"/>
        </w:rPr>
      </w:pPr>
      <w:r w:rsidRPr="00BE6649">
        <w:rPr>
          <w:sz w:val="24"/>
          <w:szCs w:val="24"/>
          <w:u w:val="single"/>
        </w:rPr>
        <w:t xml:space="preserve">Modeling Parameters </w:t>
      </w:r>
    </w:p>
    <w:p w14:paraId="0D9468A6" w14:textId="77777777" w:rsidR="00BE6649" w:rsidRDefault="00BE6649" w:rsidP="00180A98">
      <w:pPr>
        <w:spacing w:after="0"/>
        <w:rPr>
          <w:sz w:val="24"/>
          <w:szCs w:val="24"/>
        </w:rPr>
      </w:pPr>
    </w:p>
    <w:p w14:paraId="117F6CA4" w14:textId="2FBCC067" w:rsidR="00BE6649" w:rsidRDefault="00FB38BA" w:rsidP="00FB38BA">
      <w:pPr>
        <w:pStyle w:val="ListParagraph"/>
        <w:numPr>
          <w:ilvl w:val="0"/>
          <w:numId w:val="3"/>
        </w:numPr>
        <w:spacing w:after="0"/>
        <w:rPr>
          <w:sz w:val="24"/>
          <w:szCs w:val="24"/>
        </w:rPr>
      </w:pPr>
      <w:r w:rsidRPr="00FB38BA">
        <w:rPr>
          <w:sz w:val="24"/>
          <w:szCs w:val="24"/>
        </w:rPr>
        <w:t xml:space="preserve">Starting point is the 2025 roll-up </w:t>
      </w:r>
      <w:r>
        <w:rPr>
          <w:sz w:val="24"/>
          <w:szCs w:val="24"/>
        </w:rPr>
        <w:t>summer</w:t>
      </w:r>
      <w:r w:rsidRPr="00FB38BA">
        <w:rPr>
          <w:sz w:val="24"/>
          <w:szCs w:val="24"/>
        </w:rPr>
        <w:t xml:space="preserve"> peak steady state load-flow model</w:t>
      </w:r>
      <w:r>
        <w:rPr>
          <w:sz w:val="24"/>
          <w:szCs w:val="24"/>
        </w:rPr>
        <w:t>.</w:t>
      </w:r>
    </w:p>
    <w:p w14:paraId="67B1564D" w14:textId="77777777" w:rsidR="00614463" w:rsidRPr="000712AD" w:rsidRDefault="00614463" w:rsidP="00614463">
      <w:pPr>
        <w:pStyle w:val="ListParagraph"/>
        <w:numPr>
          <w:ilvl w:val="0"/>
          <w:numId w:val="3"/>
        </w:numPr>
        <w:spacing w:after="0"/>
        <w:rPr>
          <w:sz w:val="24"/>
          <w:szCs w:val="24"/>
        </w:rPr>
      </w:pPr>
      <w:r w:rsidRPr="000712AD">
        <w:rPr>
          <w:sz w:val="24"/>
          <w:szCs w:val="24"/>
        </w:rPr>
        <w:t xml:space="preserve">Up to 5000MW of </w:t>
      </w:r>
      <w:r>
        <w:rPr>
          <w:sz w:val="24"/>
          <w:szCs w:val="24"/>
        </w:rPr>
        <w:t>coal</w:t>
      </w:r>
      <w:r w:rsidRPr="000712AD">
        <w:rPr>
          <w:sz w:val="24"/>
          <w:szCs w:val="24"/>
        </w:rPr>
        <w:t xml:space="preserve"> fired generation that is on-line in the 2025 base case will be removed from service and transfer</w:t>
      </w:r>
      <w:r>
        <w:rPr>
          <w:sz w:val="24"/>
          <w:szCs w:val="24"/>
        </w:rPr>
        <w:t>s into the region will be simul</w:t>
      </w:r>
      <w:r w:rsidRPr="000712AD">
        <w:rPr>
          <w:sz w:val="24"/>
          <w:szCs w:val="24"/>
        </w:rPr>
        <w:t xml:space="preserve">ated. </w:t>
      </w:r>
    </w:p>
    <w:p w14:paraId="1948C422" w14:textId="77777777" w:rsidR="000712AD" w:rsidRPr="000712AD" w:rsidRDefault="000712AD" w:rsidP="000712AD">
      <w:pPr>
        <w:pStyle w:val="ListParagraph"/>
        <w:numPr>
          <w:ilvl w:val="0"/>
          <w:numId w:val="3"/>
        </w:numPr>
        <w:spacing w:after="0"/>
        <w:rPr>
          <w:sz w:val="24"/>
          <w:szCs w:val="24"/>
        </w:rPr>
      </w:pPr>
      <w:r w:rsidRPr="000712AD">
        <w:rPr>
          <w:sz w:val="24"/>
          <w:szCs w:val="24"/>
        </w:rPr>
        <w:lastRenderedPageBreak/>
        <w:t xml:space="preserve">Regional gas limitations will be simulated in the following areas of the Eastern Interconnection: northeast (Zone C), central (Zone D), southeast (Zone A and E), </w:t>
      </w:r>
      <w:proofErr w:type="spellStart"/>
      <w:proofErr w:type="gramStart"/>
      <w:r w:rsidRPr="000712AD">
        <w:rPr>
          <w:sz w:val="24"/>
          <w:szCs w:val="24"/>
        </w:rPr>
        <w:t>midwest</w:t>
      </w:r>
      <w:proofErr w:type="spellEnd"/>
      <w:proofErr w:type="gramEnd"/>
      <w:r w:rsidRPr="000712AD">
        <w:rPr>
          <w:sz w:val="24"/>
          <w:szCs w:val="24"/>
        </w:rPr>
        <w:t xml:space="preserve"> (Zone B), southwest (Zone F).</w:t>
      </w:r>
    </w:p>
    <w:p w14:paraId="637B9B1C" w14:textId="77777777" w:rsidR="00BE6649" w:rsidRDefault="00180A98" w:rsidP="000712AD">
      <w:pPr>
        <w:pStyle w:val="ListParagraph"/>
        <w:numPr>
          <w:ilvl w:val="0"/>
          <w:numId w:val="3"/>
        </w:numPr>
        <w:spacing w:after="0"/>
        <w:rPr>
          <w:sz w:val="24"/>
          <w:szCs w:val="24"/>
        </w:rPr>
      </w:pPr>
      <w:r w:rsidRPr="00BE6649">
        <w:rPr>
          <w:sz w:val="24"/>
          <w:szCs w:val="24"/>
        </w:rPr>
        <w:t>Perform 5000 MW regional transfers on the 20</w:t>
      </w:r>
      <w:r w:rsidR="00BE6649">
        <w:rPr>
          <w:sz w:val="24"/>
          <w:szCs w:val="24"/>
        </w:rPr>
        <w:t>25 summer</w:t>
      </w:r>
      <w:r w:rsidRPr="00BE6649">
        <w:rPr>
          <w:sz w:val="24"/>
          <w:szCs w:val="24"/>
        </w:rPr>
        <w:t xml:space="preserve"> peak model. </w:t>
      </w:r>
    </w:p>
    <w:p w14:paraId="17FA6188" w14:textId="77777777" w:rsidR="00BE6649" w:rsidRDefault="00180A98" w:rsidP="00BE6649">
      <w:pPr>
        <w:pStyle w:val="ListParagraph"/>
        <w:numPr>
          <w:ilvl w:val="0"/>
          <w:numId w:val="3"/>
        </w:numPr>
        <w:spacing w:after="0"/>
        <w:rPr>
          <w:sz w:val="24"/>
          <w:szCs w:val="24"/>
        </w:rPr>
      </w:pPr>
      <w:r w:rsidRPr="00BE6649">
        <w:rPr>
          <w:sz w:val="24"/>
          <w:szCs w:val="24"/>
        </w:rPr>
        <w:t>Transfers will be based upon t</w:t>
      </w:r>
      <w:r w:rsidR="00BE6649">
        <w:rPr>
          <w:sz w:val="24"/>
          <w:szCs w:val="24"/>
        </w:rPr>
        <w:t>he PAs defined in Table 1 from S</w:t>
      </w:r>
      <w:r w:rsidRPr="00BE6649">
        <w:rPr>
          <w:sz w:val="24"/>
          <w:szCs w:val="24"/>
        </w:rPr>
        <w:t xml:space="preserve">cenario 1. </w:t>
      </w:r>
    </w:p>
    <w:p w14:paraId="7B7C6882" w14:textId="77777777" w:rsidR="00180A98" w:rsidRPr="000712AD" w:rsidRDefault="00180A98" w:rsidP="00614463">
      <w:pPr>
        <w:pStyle w:val="ListParagraph"/>
        <w:numPr>
          <w:ilvl w:val="0"/>
          <w:numId w:val="3"/>
        </w:numPr>
        <w:spacing w:after="0"/>
      </w:pPr>
      <w:r w:rsidRPr="00BE6649">
        <w:rPr>
          <w:sz w:val="24"/>
          <w:szCs w:val="24"/>
        </w:rPr>
        <w:t xml:space="preserve">Transfers will be based upon the definitions in Table 1 and </w:t>
      </w:r>
      <w:r w:rsidR="000712AD" w:rsidRPr="000712AD">
        <w:rPr>
          <w:sz w:val="24"/>
          <w:szCs w:val="24"/>
        </w:rPr>
        <w:t xml:space="preserve">originate in regions adjacent to the region where the </w:t>
      </w:r>
      <w:r w:rsidR="000712AD">
        <w:rPr>
          <w:sz w:val="24"/>
          <w:szCs w:val="24"/>
        </w:rPr>
        <w:t xml:space="preserve">coal fired </w:t>
      </w:r>
      <w:r w:rsidR="000712AD" w:rsidRPr="000712AD">
        <w:rPr>
          <w:sz w:val="24"/>
          <w:szCs w:val="24"/>
        </w:rPr>
        <w:t>limitations are assumed.</w:t>
      </w:r>
    </w:p>
    <w:p w14:paraId="6EC235B7" w14:textId="77777777" w:rsidR="00BE6649" w:rsidRDefault="00BE6649" w:rsidP="00180A98">
      <w:pPr>
        <w:spacing w:after="0"/>
        <w:rPr>
          <w:sz w:val="24"/>
          <w:szCs w:val="24"/>
        </w:rPr>
      </w:pPr>
    </w:p>
    <w:p w14:paraId="2B939C4D" w14:textId="77777777" w:rsidR="00BE6649" w:rsidRDefault="00180A98" w:rsidP="00180A98">
      <w:pPr>
        <w:spacing w:after="0"/>
        <w:rPr>
          <w:sz w:val="24"/>
          <w:szCs w:val="24"/>
        </w:rPr>
      </w:pPr>
      <w:r w:rsidRPr="00BE6649">
        <w:rPr>
          <w:sz w:val="24"/>
          <w:szCs w:val="24"/>
          <w:u w:val="single"/>
        </w:rPr>
        <w:t>Resource Modifications</w:t>
      </w:r>
      <w:r w:rsidRPr="00180A98">
        <w:rPr>
          <w:sz w:val="24"/>
          <w:szCs w:val="24"/>
        </w:rPr>
        <w:t xml:space="preserve"> </w:t>
      </w:r>
    </w:p>
    <w:p w14:paraId="58E00253" w14:textId="77777777" w:rsidR="00BE6649" w:rsidRDefault="00BE6649" w:rsidP="00180A98">
      <w:pPr>
        <w:spacing w:after="0"/>
        <w:rPr>
          <w:sz w:val="24"/>
          <w:szCs w:val="24"/>
        </w:rPr>
      </w:pPr>
    </w:p>
    <w:p w14:paraId="24C60784" w14:textId="77777777" w:rsidR="00BE6649" w:rsidRDefault="00180A98" w:rsidP="00BE6649">
      <w:pPr>
        <w:pStyle w:val="ListParagraph"/>
        <w:numPr>
          <w:ilvl w:val="0"/>
          <w:numId w:val="4"/>
        </w:numPr>
        <w:spacing w:after="0"/>
        <w:rPr>
          <w:sz w:val="24"/>
          <w:szCs w:val="24"/>
        </w:rPr>
      </w:pPr>
      <w:r w:rsidRPr="00BE6649">
        <w:rPr>
          <w:sz w:val="24"/>
          <w:szCs w:val="24"/>
        </w:rPr>
        <w:t xml:space="preserve">Transfers will be modeled as uniform generation to generation shift between areas of interest. </w:t>
      </w:r>
    </w:p>
    <w:p w14:paraId="3801E55D" w14:textId="77777777" w:rsidR="00D137A3" w:rsidRPr="00D137A3" w:rsidRDefault="00D137A3" w:rsidP="00D137A3">
      <w:pPr>
        <w:pStyle w:val="ListParagraph"/>
        <w:numPr>
          <w:ilvl w:val="0"/>
          <w:numId w:val="4"/>
        </w:numPr>
        <w:spacing w:after="0"/>
        <w:rPr>
          <w:sz w:val="24"/>
          <w:szCs w:val="24"/>
        </w:rPr>
      </w:pPr>
      <w:r w:rsidRPr="00D137A3">
        <w:rPr>
          <w:sz w:val="24"/>
          <w:szCs w:val="24"/>
        </w:rPr>
        <w:t xml:space="preserve">Transfer sources will include available generation, including off-line units, honoring machine operating limits. </w:t>
      </w:r>
    </w:p>
    <w:p w14:paraId="15AFA62B" w14:textId="07349B79" w:rsidR="00352483" w:rsidRPr="00D137A3" w:rsidRDefault="00D137A3" w:rsidP="00721D8D">
      <w:pPr>
        <w:pStyle w:val="ListParagraph"/>
        <w:numPr>
          <w:ilvl w:val="0"/>
          <w:numId w:val="4"/>
        </w:numPr>
        <w:spacing w:after="0"/>
        <w:rPr>
          <w:sz w:val="24"/>
          <w:szCs w:val="24"/>
        </w:rPr>
      </w:pPr>
      <w:r w:rsidRPr="00D137A3">
        <w:rPr>
          <w:sz w:val="24"/>
          <w:szCs w:val="24"/>
        </w:rPr>
        <w:t>Transfer sinks will be allocated among the sink PAs based on a ratio share of the amount of coal resources located within each PA.</w:t>
      </w:r>
    </w:p>
    <w:sectPr w:rsidR="00352483" w:rsidRPr="00D13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30AA5" w14:textId="77777777" w:rsidR="00C46316" w:rsidRDefault="00C46316" w:rsidP="00180A98">
      <w:pPr>
        <w:spacing w:after="0" w:line="240" w:lineRule="auto"/>
      </w:pPr>
      <w:r>
        <w:separator/>
      </w:r>
    </w:p>
  </w:endnote>
  <w:endnote w:type="continuationSeparator" w:id="0">
    <w:p w14:paraId="650D8F27" w14:textId="77777777" w:rsidR="00C46316" w:rsidRDefault="00C46316" w:rsidP="0018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93486"/>
      <w:docPartObj>
        <w:docPartGallery w:val="Page Numbers (Bottom of Page)"/>
        <w:docPartUnique/>
      </w:docPartObj>
    </w:sdtPr>
    <w:sdtEndPr>
      <w:rPr>
        <w:noProof/>
      </w:rPr>
    </w:sdtEndPr>
    <w:sdtContent>
      <w:p w14:paraId="0EB9159F" w14:textId="77777777" w:rsidR="0069715D" w:rsidRDefault="0069715D">
        <w:pPr>
          <w:pStyle w:val="Footer"/>
          <w:jc w:val="center"/>
        </w:pPr>
        <w:r>
          <w:fldChar w:fldCharType="begin"/>
        </w:r>
        <w:r>
          <w:instrText xml:space="preserve"> PAGE   \* MERGEFORMAT </w:instrText>
        </w:r>
        <w:r>
          <w:fldChar w:fldCharType="separate"/>
        </w:r>
        <w:r w:rsidR="007A414D">
          <w:rPr>
            <w:noProof/>
          </w:rPr>
          <w:t>4</w:t>
        </w:r>
        <w:r>
          <w:rPr>
            <w:noProof/>
          </w:rPr>
          <w:fldChar w:fldCharType="end"/>
        </w:r>
      </w:p>
    </w:sdtContent>
  </w:sdt>
  <w:p w14:paraId="6D7F22B1" w14:textId="77777777" w:rsidR="0069715D" w:rsidRDefault="00697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1B440" w14:textId="77777777" w:rsidR="00C46316" w:rsidRDefault="00C46316" w:rsidP="00180A98">
      <w:pPr>
        <w:spacing w:after="0" w:line="240" w:lineRule="auto"/>
      </w:pPr>
      <w:r>
        <w:separator/>
      </w:r>
    </w:p>
  </w:footnote>
  <w:footnote w:type="continuationSeparator" w:id="0">
    <w:p w14:paraId="030713D9" w14:textId="77777777" w:rsidR="00C46316" w:rsidRDefault="00C46316" w:rsidP="00180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8C37" w14:textId="0655D68C" w:rsidR="00180A98" w:rsidRDefault="00180A98">
    <w:pPr>
      <w:pStyle w:val="Header"/>
    </w:pPr>
    <w:r>
      <w:tab/>
      <w:t>Sample Scenario Analysis</w:t>
    </w:r>
    <w:r w:rsidR="007A414D">
      <w:t xml:space="preserve"> for Study in 2016</w:t>
    </w:r>
    <w:r>
      <w:tab/>
    </w:r>
    <w:r w:rsidR="003A6D1F">
      <w:t xml:space="preserve">October </w:t>
    </w:r>
    <w:r w:rsidR="005F0BB0">
      <w:t>2</w:t>
    </w:r>
    <w:r w:rsidR="00CF4567">
      <w:t>8</w:t>
    </w:r>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520"/>
    <w:multiLevelType w:val="hybridMultilevel"/>
    <w:tmpl w:val="47A8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53C87"/>
    <w:multiLevelType w:val="hybridMultilevel"/>
    <w:tmpl w:val="8C5E9394"/>
    <w:lvl w:ilvl="0" w:tplc="04090001">
      <w:start w:val="1"/>
      <w:numFmt w:val="bullet"/>
      <w:lvlText w:val=""/>
      <w:lvlJc w:val="left"/>
      <w:pPr>
        <w:ind w:left="720" w:hanging="360"/>
      </w:pPr>
      <w:rPr>
        <w:rFonts w:ascii="Symbol" w:hAnsi="Symbol" w:hint="default"/>
      </w:rPr>
    </w:lvl>
    <w:lvl w:ilvl="1" w:tplc="7660A4A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37DE"/>
    <w:multiLevelType w:val="hybridMultilevel"/>
    <w:tmpl w:val="E7E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47E3D"/>
    <w:multiLevelType w:val="hybridMultilevel"/>
    <w:tmpl w:val="AD2AB4F6"/>
    <w:lvl w:ilvl="0" w:tplc="04090001">
      <w:start w:val="1"/>
      <w:numFmt w:val="bullet"/>
      <w:lvlText w:val=""/>
      <w:lvlJc w:val="left"/>
      <w:pPr>
        <w:ind w:left="720" w:hanging="360"/>
      </w:pPr>
      <w:rPr>
        <w:rFonts w:ascii="Symbol" w:hAnsi="Symbol" w:hint="default"/>
      </w:rPr>
    </w:lvl>
    <w:lvl w:ilvl="1" w:tplc="E58EFCD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E3515"/>
    <w:multiLevelType w:val="hybridMultilevel"/>
    <w:tmpl w:val="3092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10CF3"/>
    <w:multiLevelType w:val="hybridMultilevel"/>
    <w:tmpl w:val="643CCF4A"/>
    <w:lvl w:ilvl="0" w:tplc="83B428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60DE8"/>
    <w:multiLevelType w:val="hybridMultilevel"/>
    <w:tmpl w:val="0384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98"/>
    <w:rsid w:val="000048D0"/>
    <w:rsid w:val="000712AD"/>
    <w:rsid w:val="000A1F34"/>
    <w:rsid w:val="00180A98"/>
    <w:rsid w:val="001B5950"/>
    <w:rsid w:val="00274406"/>
    <w:rsid w:val="0033289B"/>
    <w:rsid w:val="00352483"/>
    <w:rsid w:val="00357F5B"/>
    <w:rsid w:val="003A6D1F"/>
    <w:rsid w:val="004B484C"/>
    <w:rsid w:val="005A7CD8"/>
    <w:rsid w:val="005F0BB0"/>
    <w:rsid w:val="00614463"/>
    <w:rsid w:val="0069715D"/>
    <w:rsid w:val="006B2D8D"/>
    <w:rsid w:val="007A414D"/>
    <w:rsid w:val="00AE611D"/>
    <w:rsid w:val="00BB24E3"/>
    <w:rsid w:val="00BE6649"/>
    <w:rsid w:val="00BF617B"/>
    <w:rsid w:val="00C46316"/>
    <w:rsid w:val="00CF4567"/>
    <w:rsid w:val="00D137A3"/>
    <w:rsid w:val="00DC30E2"/>
    <w:rsid w:val="00EA1901"/>
    <w:rsid w:val="00F2048A"/>
    <w:rsid w:val="00FB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F867"/>
  <w15:docId w15:val="{D1DF24C0-2930-4237-A9D2-9AB35570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A98"/>
  </w:style>
  <w:style w:type="paragraph" w:styleId="Footer">
    <w:name w:val="footer"/>
    <w:basedOn w:val="Normal"/>
    <w:link w:val="FooterChar"/>
    <w:uiPriority w:val="99"/>
    <w:unhideWhenUsed/>
    <w:rsid w:val="0018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98"/>
  </w:style>
  <w:style w:type="paragraph" w:styleId="ListParagraph">
    <w:name w:val="List Paragraph"/>
    <w:basedOn w:val="Normal"/>
    <w:uiPriority w:val="34"/>
    <w:qFormat/>
    <w:rsid w:val="0069715D"/>
    <w:pPr>
      <w:ind w:left="720"/>
      <w:contextualSpacing/>
    </w:pPr>
  </w:style>
  <w:style w:type="table" w:styleId="TableGrid">
    <w:name w:val="Table Grid"/>
    <w:basedOn w:val="TableNormal"/>
    <w:uiPriority w:val="39"/>
    <w:rsid w:val="0069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1F"/>
    <w:rPr>
      <w:rFonts w:ascii="Segoe UI" w:hAnsi="Segoe UI" w:cs="Segoe UI"/>
      <w:sz w:val="18"/>
      <w:szCs w:val="18"/>
    </w:rPr>
  </w:style>
  <w:style w:type="character" w:styleId="CommentReference">
    <w:name w:val="annotation reference"/>
    <w:basedOn w:val="DefaultParagraphFont"/>
    <w:uiPriority w:val="99"/>
    <w:semiHidden/>
    <w:unhideWhenUsed/>
    <w:rsid w:val="00357F5B"/>
    <w:rPr>
      <w:sz w:val="16"/>
      <w:szCs w:val="16"/>
    </w:rPr>
  </w:style>
  <w:style w:type="paragraph" w:styleId="CommentText">
    <w:name w:val="annotation text"/>
    <w:basedOn w:val="Normal"/>
    <w:link w:val="CommentTextChar"/>
    <w:uiPriority w:val="99"/>
    <w:semiHidden/>
    <w:unhideWhenUsed/>
    <w:rsid w:val="00357F5B"/>
    <w:pPr>
      <w:spacing w:line="240" w:lineRule="auto"/>
    </w:pPr>
    <w:rPr>
      <w:sz w:val="20"/>
      <w:szCs w:val="20"/>
    </w:rPr>
  </w:style>
  <w:style w:type="character" w:customStyle="1" w:styleId="CommentTextChar">
    <w:name w:val="Comment Text Char"/>
    <w:basedOn w:val="DefaultParagraphFont"/>
    <w:link w:val="CommentText"/>
    <w:uiPriority w:val="99"/>
    <w:semiHidden/>
    <w:rsid w:val="00357F5B"/>
    <w:rPr>
      <w:sz w:val="20"/>
      <w:szCs w:val="20"/>
    </w:rPr>
  </w:style>
  <w:style w:type="paragraph" w:styleId="CommentSubject">
    <w:name w:val="annotation subject"/>
    <w:basedOn w:val="CommentText"/>
    <w:next w:val="CommentText"/>
    <w:link w:val="CommentSubjectChar"/>
    <w:uiPriority w:val="99"/>
    <w:semiHidden/>
    <w:unhideWhenUsed/>
    <w:rsid w:val="00357F5B"/>
    <w:rPr>
      <w:b/>
      <w:bCs/>
    </w:rPr>
  </w:style>
  <w:style w:type="character" w:customStyle="1" w:styleId="CommentSubjectChar">
    <w:name w:val="Comment Subject Char"/>
    <w:basedOn w:val="CommentTextChar"/>
    <w:link w:val="CommentSubject"/>
    <w:uiPriority w:val="99"/>
    <w:semiHidden/>
    <w:rsid w:val="00357F5B"/>
    <w:rPr>
      <w:b/>
      <w:bCs/>
      <w:sz w:val="20"/>
      <w:szCs w:val="20"/>
    </w:rPr>
  </w:style>
  <w:style w:type="paragraph" w:styleId="Revision">
    <w:name w:val="Revision"/>
    <w:hidden/>
    <w:uiPriority w:val="99"/>
    <w:semiHidden/>
    <w:rsid w:val="00614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CB05-6544-44A2-95B3-B031E1A9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Whiteley</dc:creator>
  <cp:lastModifiedBy>David Whiteley</cp:lastModifiedBy>
  <cp:revision>4</cp:revision>
  <dcterms:created xsi:type="dcterms:W3CDTF">2015-10-28T14:44:00Z</dcterms:created>
  <dcterms:modified xsi:type="dcterms:W3CDTF">2015-10-29T13:05:00Z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